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C1" w:rsidRDefault="002946C1" w:rsidP="002946C1">
      <w:pPr>
        <w:jc w:val="center"/>
        <w:rPr>
          <w:rFonts w:asciiTheme="majorBidi" w:hAnsiTheme="majorBidi" w:cstheme="majorBidi"/>
          <w:sz w:val="52"/>
          <w:szCs w:val="52"/>
        </w:rPr>
      </w:pPr>
      <w:r w:rsidRPr="00413216">
        <w:rPr>
          <w:rFonts w:asciiTheme="majorBidi" w:hAnsiTheme="majorBidi" w:cstheme="majorBidi"/>
          <w:sz w:val="48"/>
          <w:szCs w:val="48"/>
        </w:rPr>
        <w:t>C</w:t>
      </w:r>
      <w:r>
        <w:rPr>
          <w:rFonts w:asciiTheme="majorBidi" w:hAnsiTheme="majorBidi" w:cstheme="majorBidi"/>
          <w:sz w:val="48"/>
          <w:szCs w:val="48"/>
        </w:rPr>
        <w:t xml:space="preserve"> V</w:t>
      </w:r>
    </w:p>
    <w:p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:rsidR="002946C1" w:rsidRPr="00F84FA7" w:rsidRDefault="00E52D56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أميرة عصام زكي رمضان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:rsidR="002946C1" w:rsidRPr="00E52D56" w:rsidRDefault="00E52D56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bidi="ar-EG"/>
              </w:rPr>
              <w:t>Amira essam zaki ramadan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:rsidR="002946C1" w:rsidRPr="00F84FA7" w:rsidRDefault="00E52D56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10/4/1986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:rsidR="002946C1" w:rsidRPr="00F84FA7" w:rsidRDefault="00E52D56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Medical microbiology &amp; immunology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:rsidR="002946C1" w:rsidRPr="00F84FA7" w:rsidRDefault="00E52D56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 university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:rsidR="002946C1" w:rsidRPr="00F84FA7" w:rsidRDefault="009E6934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="00E52D56">
              <w:rPr>
                <w:rFonts w:ascii="Times New Roman" w:eastAsia="Calibri" w:hAnsi="Times New Roman" w:cs="Times New Roman"/>
                <w:sz w:val="24"/>
                <w:szCs w:val="24"/>
              </w:rPr>
              <w:t>ecturer</w:t>
            </w:r>
          </w:p>
        </w:tc>
      </w:tr>
      <w:tr w:rsidR="002946C1" w:rsidRPr="00F84FA7" w:rsidTr="00866354">
        <w:trPr>
          <w:trHeight w:val="388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:rsidR="002946C1" w:rsidRPr="00F84FA7" w:rsidRDefault="009E6934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E52D56">
              <w:rPr>
                <w:rFonts w:ascii="Times New Roman" w:eastAsia="Calibri" w:hAnsi="Times New Roman" w:cs="Times New Roman"/>
                <w:sz w:val="24"/>
                <w:szCs w:val="24"/>
              </w:rPr>
              <w:t>arried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:rsidR="002946C1" w:rsidRPr="00F84FA7" w:rsidRDefault="00E52D56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01094158933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:rsidR="002946C1" w:rsidRPr="00F84FA7" w:rsidRDefault="00E52D56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amera.ramadan@fmed.bu.edu.eg</w:t>
            </w:r>
          </w:p>
        </w:tc>
      </w:tr>
    </w:tbl>
    <w:p w:rsidR="002946C1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1418"/>
      </w:tblGrid>
      <w:tr w:rsidR="002946C1" w:rsidRPr="00F84FA7" w:rsidTr="00866354">
        <w:trPr>
          <w:trHeight w:val="622"/>
        </w:trPr>
        <w:tc>
          <w:tcPr>
            <w:tcW w:w="3591" w:type="dxa"/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946C1" w:rsidRPr="00F84FA7" w:rsidTr="00866354">
        <w:trPr>
          <w:trHeight w:val="642"/>
        </w:trPr>
        <w:tc>
          <w:tcPr>
            <w:tcW w:w="3591" w:type="dxa"/>
          </w:tcPr>
          <w:p w:rsidR="002946C1" w:rsidRPr="00F84FA7" w:rsidRDefault="00E52D56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E52D56" w:rsidP="00866354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lang w:bidi="ar-EG"/>
              </w:rPr>
              <w:t>MBBCH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E52D56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2009</w:t>
            </w:r>
          </w:p>
        </w:tc>
      </w:tr>
      <w:tr w:rsidR="00E52D56" w:rsidRPr="00F84FA7" w:rsidTr="00866354">
        <w:trPr>
          <w:trHeight w:val="642"/>
        </w:trPr>
        <w:tc>
          <w:tcPr>
            <w:tcW w:w="3591" w:type="dxa"/>
          </w:tcPr>
          <w:p w:rsidR="00E52D56" w:rsidRPr="00F84FA7" w:rsidRDefault="00E52D56" w:rsidP="00291D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E52D56" w:rsidRPr="00F84FA7" w:rsidRDefault="00E52D56" w:rsidP="00866354">
            <w:pPr>
              <w:rPr>
                <w:rFonts w:ascii="Calibri" w:eastAsia="Calibri" w:hAnsi="Calibri" w:cs="Arial"/>
              </w:rPr>
            </w:pPr>
            <w:r w:rsidRPr="00E5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Master degree in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Medical microbiology &amp;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52D56" w:rsidRPr="00F84FA7" w:rsidRDefault="00E52D56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2016</w:t>
            </w:r>
          </w:p>
        </w:tc>
      </w:tr>
      <w:tr w:rsidR="00E52D56" w:rsidRPr="00F84FA7" w:rsidTr="00866354">
        <w:trPr>
          <w:trHeight w:val="642"/>
        </w:trPr>
        <w:tc>
          <w:tcPr>
            <w:tcW w:w="3591" w:type="dxa"/>
          </w:tcPr>
          <w:p w:rsidR="00E52D56" w:rsidRDefault="00E52D56" w:rsidP="00291D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9E6934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  <w:r w:rsidR="009E6934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E52D56" w:rsidRPr="00E52D56" w:rsidRDefault="00E52D56" w:rsidP="008663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Dioploma in infection control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52D56" w:rsidRDefault="00E52D56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2019</w:t>
            </w:r>
          </w:p>
        </w:tc>
      </w:tr>
      <w:tr w:rsidR="00E52D56" w:rsidRPr="00F84FA7" w:rsidTr="00866354">
        <w:trPr>
          <w:trHeight w:val="642"/>
        </w:trPr>
        <w:tc>
          <w:tcPr>
            <w:tcW w:w="3591" w:type="dxa"/>
          </w:tcPr>
          <w:p w:rsidR="00E52D56" w:rsidRPr="00F84FA7" w:rsidRDefault="00E52D56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E52D56" w:rsidRPr="00F84FA7" w:rsidRDefault="00E52D56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MD</w:t>
            </w:r>
            <w:r w:rsidRPr="00E5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degree in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Medical microbiology &amp;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52D56" w:rsidRPr="00F84FA7" w:rsidRDefault="00E52D56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2020</w:t>
            </w:r>
          </w:p>
        </w:tc>
      </w:tr>
      <w:tr w:rsidR="009E6934" w:rsidRPr="00F84FA7" w:rsidTr="00866354">
        <w:trPr>
          <w:trHeight w:val="642"/>
        </w:trPr>
        <w:tc>
          <w:tcPr>
            <w:tcW w:w="3591" w:type="dxa"/>
          </w:tcPr>
          <w:p w:rsidR="009E6934" w:rsidRDefault="009E6934" w:rsidP="008663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National nutrition institute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9E6934" w:rsidRDefault="009E6934" w:rsidP="008663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Clinical nutrition diploma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6934" w:rsidRDefault="009E6934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2014</w:t>
            </w:r>
          </w:p>
        </w:tc>
      </w:tr>
    </w:tbl>
    <w:p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</w:p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748"/>
      </w:tblGrid>
      <w:tr w:rsidR="002946C1" w:rsidRPr="00F84FA7" w:rsidTr="00866354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2946C1" w:rsidRPr="00F84FA7" w:rsidRDefault="00E52D56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Medical microbiology &amp; immunology</w:t>
            </w:r>
          </w:p>
        </w:tc>
      </w:tr>
      <w:tr w:rsidR="002946C1" w:rsidRPr="00F84FA7" w:rsidTr="00866354">
        <w:tc>
          <w:tcPr>
            <w:tcW w:w="1702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6"/>
        <w:gridCol w:w="2131"/>
        <w:gridCol w:w="2139"/>
        <w:gridCol w:w="2122"/>
      </w:tblGrid>
      <w:tr w:rsidR="002946C1" w:rsidRPr="001237BC" w:rsidTr="00866354">
        <w:tc>
          <w:tcPr>
            <w:tcW w:w="2390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1237BC">
                  <w:rPr>
                    <w:rFonts w:ascii="Arial" w:eastAsia="Calibri" w:hAnsi="Arial" w:cs="Arial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2946C1" w:rsidRPr="001237BC" w:rsidTr="00866354">
        <w:tc>
          <w:tcPr>
            <w:tcW w:w="2390" w:type="dxa"/>
          </w:tcPr>
          <w:p w:rsidR="002946C1" w:rsidRPr="001237BC" w:rsidRDefault="00E52D56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arabic</w:t>
            </w:r>
          </w:p>
        </w:tc>
        <w:tc>
          <w:tcPr>
            <w:tcW w:w="2214" w:type="dxa"/>
          </w:tcPr>
          <w:p w:rsidR="002946C1" w:rsidRPr="001237BC" w:rsidRDefault="009E6934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Y</w:t>
            </w:r>
            <w:r w:rsidR="00E52D56">
              <w:rPr>
                <w:rFonts w:ascii="Arial" w:eastAsia="Calibri" w:hAnsi="Arial" w:cs="Arial"/>
                <w:b/>
                <w:bCs/>
              </w:rPr>
              <w:t>es</w:t>
            </w:r>
          </w:p>
        </w:tc>
        <w:tc>
          <w:tcPr>
            <w:tcW w:w="2214" w:type="dxa"/>
          </w:tcPr>
          <w:p w:rsidR="002946C1" w:rsidRPr="001237BC" w:rsidRDefault="00E52D56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yes</w:t>
            </w:r>
          </w:p>
        </w:tc>
        <w:tc>
          <w:tcPr>
            <w:tcW w:w="2214" w:type="dxa"/>
          </w:tcPr>
          <w:p w:rsidR="002946C1" w:rsidRPr="001237BC" w:rsidRDefault="009E6934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Y</w:t>
            </w:r>
            <w:r w:rsidR="00E52D56">
              <w:rPr>
                <w:rFonts w:ascii="Arial" w:eastAsia="Calibri" w:hAnsi="Arial" w:cs="Arial"/>
                <w:b/>
                <w:bCs/>
              </w:rPr>
              <w:t>es</w:t>
            </w:r>
          </w:p>
        </w:tc>
      </w:tr>
      <w:tr w:rsidR="002946C1" w:rsidRPr="001237BC" w:rsidTr="00866354">
        <w:tc>
          <w:tcPr>
            <w:tcW w:w="2390" w:type="dxa"/>
          </w:tcPr>
          <w:p w:rsidR="002946C1" w:rsidRPr="001237BC" w:rsidRDefault="00E52D56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english</w:t>
            </w:r>
          </w:p>
        </w:tc>
        <w:tc>
          <w:tcPr>
            <w:tcW w:w="2214" w:type="dxa"/>
          </w:tcPr>
          <w:p w:rsidR="002946C1" w:rsidRPr="001237BC" w:rsidRDefault="00E52D56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Yes</w:t>
            </w:r>
          </w:p>
        </w:tc>
        <w:tc>
          <w:tcPr>
            <w:tcW w:w="2214" w:type="dxa"/>
          </w:tcPr>
          <w:p w:rsidR="002946C1" w:rsidRPr="001237BC" w:rsidRDefault="00E52D56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Yes</w:t>
            </w:r>
          </w:p>
        </w:tc>
        <w:tc>
          <w:tcPr>
            <w:tcW w:w="2214" w:type="dxa"/>
          </w:tcPr>
          <w:p w:rsidR="002946C1" w:rsidRPr="001237BC" w:rsidRDefault="00E52D56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Yes</w:t>
            </w:r>
          </w:p>
        </w:tc>
      </w:tr>
      <w:tr w:rsidR="007F0233" w:rsidRPr="001237BC" w:rsidTr="00866354">
        <w:tc>
          <w:tcPr>
            <w:tcW w:w="2390" w:type="dxa"/>
          </w:tcPr>
          <w:p w:rsidR="007F0233" w:rsidRDefault="007F0233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french</w:t>
            </w:r>
          </w:p>
        </w:tc>
        <w:tc>
          <w:tcPr>
            <w:tcW w:w="2214" w:type="dxa"/>
          </w:tcPr>
          <w:p w:rsidR="007F0233" w:rsidRDefault="007F0233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Yes</w:t>
            </w:r>
          </w:p>
        </w:tc>
        <w:tc>
          <w:tcPr>
            <w:tcW w:w="2214" w:type="dxa"/>
          </w:tcPr>
          <w:p w:rsidR="007F0233" w:rsidRDefault="007F0233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Yes</w:t>
            </w:r>
          </w:p>
        </w:tc>
        <w:tc>
          <w:tcPr>
            <w:tcW w:w="2214" w:type="dxa"/>
          </w:tcPr>
          <w:p w:rsidR="007F0233" w:rsidRDefault="007F0233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946C1" w:rsidRDefault="002946C1" w:rsidP="002946C1">
      <w:pPr>
        <w:rPr>
          <w:rFonts w:asciiTheme="majorBidi" w:hAnsiTheme="majorBidi" w:cstheme="majorBidi"/>
          <w:sz w:val="52"/>
          <w:szCs w:val="52"/>
        </w:rPr>
      </w:pPr>
    </w:p>
    <w:p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:rsidR="002946C1" w:rsidRPr="0039207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2A2716">
        <w:rPr>
          <w:rFonts w:ascii="Arial" w:eastAsia="Calibri" w:hAnsi="Arial" w:cs="Arial"/>
          <w:b/>
          <w:bCs/>
        </w:rPr>
        <w:t xml:space="preserve">Membership of </w:t>
      </w:r>
      <w:r w:rsidRPr="00392071">
        <w:rPr>
          <w:rFonts w:ascii="Arial" w:eastAsia="Calibri" w:hAnsi="Arial" w:cs="Arial"/>
          <w:b/>
          <w:bCs/>
        </w:rPr>
        <w:t>Committees</w:t>
      </w:r>
      <w:r>
        <w:rPr>
          <w:rFonts w:ascii="Arial" w:eastAsia="Calibri" w:hAnsi="Arial" w:cs="Arial"/>
          <w:b/>
          <w:bCs/>
        </w:rPr>
        <w:t>&amp; societies</w:t>
      </w:r>
    </w:p>
    <w:p w:rsidR="000948A2" w:rsidRPr="009E6934" w:rsidRDefault="009E6934" w:rsidP="009E6934">
      <w:pPr>
        <w:pStyle w:val="ListParagraph"/>
        <w:numPr>
          <w:ilvl w:val="0"/>
          <w:numId w:val="8"/>
        </w:numPr>
        <w:ind w:hanging="72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E</w:t>
      </w:r>
      <w:r w:rsidRPr="009E6934">
        <w:rPr>
          <w:rFonts w:ascii="Arial" w:eastAsia="Calibri" w:hAnsi="Arial" w:cs="Arial"/>
          <w:b/>
          <w:bCs/>
        </w:rPr>
        <w:t>gyptian society of medical microbiology</w:t>
      </w:r>
    </w:p>
    <w:p w:rsidR="000948A2" w:rsidRDefault="000948A2" w:rsidP="000948A2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2</w:t>
      </w:r>
    </w:p>
    <w:p w:rsidR="000948A2" w:rsidRDefault="000948A2" w:rsidP="000948A2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3</w:t>
      </w:r>
    </w:p>
    <w:p w:rsidR="000948A2" w:rsidRDefault="000948A2" w:rsidP="000948A2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4</w:t>
      </w:r>
    </w:p>
    <w:p w:rsidR="000948A2" w:rsidRPr="002A2716" w:rsidRDefault="000948A2" w:rsidP="000948A2">
      <w:pPr>
        <w:rPr>
          <w:rFonts w:ascii="Arial" w:eastAsia="Calibri" w:hAnsi="Arial" w:cs="Arial"/>
          <w:b/>
          <w:bCs/>
        </w:rPr>
      </w:pPr>
    </w:p>
    <w:p w:rsidR="002946C1" w:rsidRPr="008D08C1" w:rsidRDefault="002946C1" w:rsidP="002946C1">
      <w:pPr>
        <w:rPr>
          <w:rFonts w:ascii="Arial" w:eastAsia="Calibri" w:hAnsi="Arial" w:cs="Arial"/>
          <w:b/>
          <w:bCs/>
        </w:rPr>
      </w:pPr>
      <w:r w:rsidRPr="008D08C1">
        <w:rPr>
          <w:rFonts w:ascii="Arial" w:eastAsia="Calibri" w:hAnsi="Arial" w:cs="Arial"/>
          <w:b/>
          <w:bCs/>
        </w:rPr>
        <w:t xml:space="preserve">Distinction and Awards </w:t>
      </w:r>
    </w:p>
    <w:p w:rsidR="002946C1" w:rsidRDefault="000948A2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</w:p>
    <w:p w:rsidR="000948A2" w:rsidRDefault="000948A2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</w:p>
    <w:p w:rsidR="002946C1" w:rsidRDefault="002946C1" w:rsidP="002946C1">
      <w:pPr>
        <w:ind w:left="990"/>
        <w:rPr>
          <w:rFonts w:ascii="Arial" w:hAnsi="Arial"/>
          <w:b/>
          <w:bCs/>
        </w:rPr>
      </w:pPr>
    </w:p>
    <w:p w:rsidR="002946C1" w:rsidRDefault="002946C1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Courses  taught at under graduate level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2946C1" w:rsidRPr="00602AE1" w:rsidTr="000948A2">
        <w:tc>
          <w:tcPr>
            <w:tcW w:w="8647" w:type="dxa"/>
          </w:tcPr>
          <w:p w:rsidR="002946C1" w:rsidRDefault="00E52D56" w:rsidP="00E52D56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b/>
                <w:bCs/>
              </w:rPr>
            </w:pPr>
            <w:r w:rsidRPr="00E52D56">
              <w:rPr>
                <w:rFonts w:ascii="Arial" w:eastAsia="Calibri" w:hAnsi="Arial" w:cs="Arial"/>
                <w:b/>
                <w:bCs/>
              </w:rPr>
              <w:t>1st , 2nd &amp; 3rd degree medical students</w:t>
            </w:r>
          </w:p>
          <w:p w:rsidR="00E52D56" w:rsidRPr="00E52D56" w:rsidRDefault="00E52D56" w:rsidP="00E52D56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1st degree nursery students</w:t>
            </w:r>
          </w:p>
          <w:p w:rsidR="00E52D56" w:rsidRPr="00602AE1" w:rsidRDefault="00E52D56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DB0D31" w:rsidRDefault="002946C1" w:rsidP="00866354">
            <w:pPr>
              <w:rPr>
                <w:rFonts w:ascii="Arial" w:hAnsi="Arial" w:cs="Arial"/>
                <w:b/>
                <w:bCs/>
                <w:lang w:eastAsia="ja-JP"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946C1" w:rsidRPr="00CF315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CF3151">
        <w:rPr>
          <w:rFonts w:ascii="Arial" w:eastAsia="Calibri" w:hAnsi="Arial" w:cs="Arial"/>
          <w:b/>
          <w:bCs/>
        </w:rPr>
        <w:t>Attended Workshops,</w:t>
      </w:r>
      <w:r>
        <w:rPr>
          <w:rFonts w:ascii="Arial" w:eastAsia="Calibri" w:hAnsi="Arial" w:cs="Arial"/>
          <w:b/>
          <w:bCs/>
        </w:rPr>
        <w:t xml:space="preserve"> training, </w:t>
      </w:r>
      <w:r w:rsidRPr="00CF3151">
        <w:rPr>
          <w:rFonts w:ascii="Arial" w:eastAsia="Calibri" w:hAnsi="Arial" w:cs="Arial"/>
          <w:b/>
          <w:bCs/>
        </w:rPr>
        <w:t xml:space="preserve"> Symposiums, and Conferences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6"/>
        <w:gridCol w:w="1439"/>
      </w:tblGrid>
      <w:tr w:rsidR="002946C1" w:rsidRPr="00CF3151" w:rsidTr="00866354">
        <w:trPr>
          <w:trHeight w:val="808"/>
        </w:trPr>
        <w:tc>
          <w:tcPr>
            <w:tcW w:w="7976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Name of Workshops, Symposiums, and Conferences</w:t>
            </w:r>
          </w:p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946C1" w:rsidRPr="00CF3151" w:rsidTr="00866354">
        <w:trPr>
          <w:trHeight w:val="377"/>
        </w:trPr>
        <w:tc>
          <w:tcPr>
            <w:tcW w:w="7976" w:type="dxa"/>
          </w:tcPr>
          <w:p w:rsidR="004F6E35" w:rsidRPr="00787D82" w:rsidRDefault="004F6E35" w:rsidP="004F6E35">
            <w:pPr>
              <w:pStyle w:val="BodyText"/>
              <w:kinsoku w:val="0"/>
              <w:overflowPunct w:val="0"/>
              <w:spacing w:line="360" w:lineRule="auto"/>
              <w:ind w:left="851" w:right="401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87D82">
              <w:rPr>
                <w:rFonts w:asciiTheme="majorBidi" w:hAnsiTheme="majorBidi" w:cstheme="majorBidi"/>
                <w:color w:val="252525"/>
                <w:sz w:val="24"/>
                <w:szCs w:val="24"/>
              </w:rPr>
              <w:t>Stem</w:t>
            </w:r>
            <w:r w:rsidRPr="00787D82">
              <w:rPr>
                <w:rFonts w:asciiTheme="majorBidi" w:hAnsiTheme="majorBidi" w:cstheme="majorBidi"/>
                <w:color w:val="252525"/>
                <w:spacing w:val="-8"/>
                <w:sz w:val="24"/>
                <w:szCs w:val="24"/>
              </w:rPr>
              <w:t xml:space="preserve"> </w:t>
            </w:r>
            <w:r w:rsidRPr="00787D82">
              <w:rPr>
                <w:rFonts w:asciiTheme="majorBidi" w:hAnsiTheme="majorBidi" w:cstheme="majorBidi"/>
                <w:color w:val="252525"/>
                <w:sz w:val="24"/>
                <w:szCs w:val="24"/>
              </w:rPr>
              <w:t>cell</w:t>
            </w:r>
            <w:r w:rsidRPr="00787D82">
              <w:rPr>
                <w:rFonts w:asciiTheme="majorBidi" w:hAnsiTheme="majorBidi" w:cstheme="majorBidi"/>
                <w:color w:val="252525"/>
                <w:spacing w:val="-6"/>
                <w:sz w:val="24"/>
                <w:szCs w:val="24"/>
              </w:rPr>
              <w:t xml:space="preserve"> </w:t>
            </w:r>
            <w:r w:rsidRPr="00787D82">
              <w:rPr>
                <w:rFonts w:asciiTheme="majorBidi" w:hAnsiTheme="majorBidi" w:cstheme="majorBidi"/>
                <w:color w:val="252525"/>
                <w:sz w:val="24"/>
                <w:szCs w:val="24"/>
              </w:rPr>
              <w:t>biology,</w:t>
            </w:r>
            <w:r w:rsidRPr="00787D82">
              <w:rPr>
                <w:rFonts w:asciiTheme="majorBidi" w:hAnsiTheme="majorBidi" w:cstheme="majorBidi"/>
                <w:color w:val="252525"/>
                <w:spacing w:val="-5"/>
                <w:sz w:val="24"/>
                <w:szCs w:val="24"/>
              </w:rPr>
              <w:t xml:space="preserve"> </w:t>
            </w:r>
            <w:r w:rsidRPr="00787D82">
              <w:rPr>
                <w:rFonts w:asciiTheme="majorBidi" w:hAnsiTheme="majorBidi" w:cstheme="majorBidi"/>
                <w:color w:val="252525"/>
                <w:sz w:val="24"/>
                <w:szCs w:val="24"/>
              </w:rPr>
              <w:t>Egyptian society for progenitor cell research.</w:t>
            </w:r>
          </w:p>
          <w:p w:rsidR="002946C1" w:rsidRPr="00CF3151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377"/>
        </w:trPr>
        <w:tc>
          <w:tcPr>
            <w:tcW w:w="7976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4F6E35" w:rsidRPr="00787D82" w:rsidRDefault="004F6E35" w:rsidP="004F6E35">
            <w:pPr>
              <w:pStyle w:val="BodyText"/>
              <w:kinsoku w:val="0"/>
              <w:overflowPunct w:val="0"/>
              <w:spacing w:line="360" w:lineRule="auto"/>
              <w:ind w:left="851"/>
              <w:rPr>
                <w:rFonts w:asciiTheme="majorBidi" w:hAnsiTheme="majorBidi" w:cstheme="majorBidi"/>
                <w:color w:val="252525"/>
                <w:sz w:val="24"/>
                <w:szCs w:val="24"/>
              </w:rPr>
            </w:pPr>
            <w:r w:rsidRPr="00787D82">
              <w:rPr>
                <w:rFonts w:asciiTheme="majorBidi" w:hAnsiTheme="majorBidi" w:cstheme="majorBidi"/>
                <w:color w:val="252525"/>
                <w:sz w:val="24"/>
                <w:szCs w:val="24"/>
              </w:rPr>
              <w:t>VITEK workshop ,</w:t>
            </w:r>
            <w:r w:rsidRPr="00787D82">
              <w:rPr>
                <w:rFonts w:asciiTheme="majorBidi" w:hAnsiTheme="majorBidi" w:cstheme="majorBidi"/>
                <w:color w:val="252525"/>
                <w:spacing w:val="-2"/>
                <w:sz w:val="24"/>
                <w:szCs w:val="24"/>
              </w:rPr>
              <w:t xml:space="preserve"> medical microbiology &amp; immunology department,</w:t>
            </w:r>
            <w:r w:rsidRPr="00787D82">
              <w:rPr>
                <w:rFonts w:asciiTheme="majorBidi" w:hAnsiTheme="majorBidi" w:cstheme="majorBidi"/>
                <w:color w:val="252525"/>
                <w:spacing w:val="-6"/>
                <w:sz w:val="24"/>
                <w:szCs w:val="24"/>
              </w:rPr>
              <w:t xml:space="preserve"> </w:t>
            </w:r>
            <w:r w:rsidRPr="00787D82">
              <w:rPr>
                <w:rFonts w:asciiTheme="majorBidi" w:hAnsiTheme="majorBidi" w:cstheme="majorBidi"/>
                <w:color w:val="252525"/>
                <w:sz w:val="24"/>
                <w:szCs w:val="24"/>
              </w:rPr>
              <w:t>Benha</w:t>
            </w:r>
            <w:r w:rsidRPr="00787D82">
              <w:rPr>
                <w:rFonts w:asciiTheme="majorBidi" w:hAnsiTheme="majorBidi" w:cstheme="majorBidi"/>
                <w:color w:val="252525"/>
                <w:spacing w:val="-6"/>
                <w:sz w:val="24"/>
                <w:szCs w:val="24"/>
              </w:rPr>
              <w:t xml:space="preserve"> </w:t>
            </w:r>
            <w:r w:rsidRPr="00787D82">
              <w:rPr>
                <w:rFonts w:asciiTheme="majorBidi" w:hAnsiTheme="majorBidi" w:cstheme="majorBidi"/>
                <w:color w:val="252525"/>
                <w:sz w:val="24"/>
                <w:szCs w:val="24"/>
              </w:rPr>
              <w:t>University.</w:t>
            </w:r>
          </w:p>
          <w:p w:rsidR="002946C1" w:rsidRPr="00CF3151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48"/>
        </w:trPr>
        <w:tc>
          <w:tcPr>
            <w:tcW w:w="7976" w:type="dxa"/>
          </w:tcPr>
          <w:p w:rsidR="002946C1" w:rsidRPr="00CF3151" w:rsidRDefault="004F6E35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87D82">
              <w:rPr>
                <w:rFonts w:asciiTheme="majorBidi" w:hAnsiTheme="majorBidi" w:cstheme="majorBidi"/>
                <w:color w:val="252525"/>
                <w:sz w:val="24"/>
                <w:szCs w:val="24"/>
              </w:rPr>
              <w:t>basic principles of infection control, Egyptian medical syndicate.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FD3B67" w:rsidRDefault="004F6E35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87D82">
              <w:rPr>
                <w:rFonts w:asciiTheme="majorBidi" w:hAnsiTheme="majorBidi" w:cstheme="majorBidi"/>
                <w:color w:val="252525"/>
                <w:sz w:val="24"/>
                <w:szCs w:val="24"/>
              </w:rPr>
              <w:t>IPC for COVID-19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FD3B67" w:rsidRDefault="004F6E35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87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Clinical management of patients with COVID-19 - General considerations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,WHO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4F6E35" w:rsidRDefault="004F6E35" w:rsidP="004F6E35">
            <w:pPr>
              <w:pStyle w:val="Heading4"/>
              <w:shd w:val="clear" w:color="auto" w:fill="FFFFFF"/>
              <w:spacing w:before="150" w:after="150"/>
              <w:ind w:left="851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hyperlink r:id="rId5" w:tooltip="COVID-19 vaccination training for health workers" w:history="1">
              <w:r w:rsidRPr="00787D82">
                <w:rPr>
                  <w:rFonts w:asciiTheme="majorBidi" w:hAnsiTheme="majorBidi" w:cstheme="majorBidi"/>
                  <w:sz w:val="24"/>
                  <w:szCs w:val="24"/>
                </w:rPr>
                <w:t>COVID-19 vaccination training for health workers</w:t>
              </w:r>
            </w:hyperlink>
            <w:r w:rsidRPr="00787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,WHO</w:t>
            </w:r>
          </w:p>
          <w:p w:rsidR="002946C1" w:rsidRPr="00FD3B67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4F6E35" w:rsidRPr="001E2269" w:rsidRDefault="004F6E35" w:rsidP="004F6E35">
            <w:pPr>
              <w:pStyle w:val="BodyText"/>
              <w:kinsoku w:val="0"/>
              <w:overflowPunct w:val="0"/>
              <w:spacing w:line="360" w:lineRule="auto"/>
              <w:ind w:left="851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E226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hyperlink r:id="rId6" w:tooltip="Occupational health and safety for health workers in the context of COVID-19" w:history="1">
              <w:r w:rsidRPr="001E2269">
                <w:rPr>
                  <w:rFonts w:asciiTheme="majorBidi" w:hAnsiTheme="majorBidi" w:cstheme="majorBidi"/>
                  <w:sz w:val="24"/>
                  <w:szCs w:val="24"/>
                </w:rPr>
                <w:t>Occupational health and safety for health workers in the context of COVID-19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543F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WHO</w:t>
            </w:r>
          </w:p>
          <w:p w:rsidR="002946C1" w:rsidRPr="00FD3B67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4F6E35" w:rsidRPr="001E2269" w:rsidRDefault="004F6E35" w:rsidP="004F6E35">
            <w:pPr>
              <w:pStyle w:val="BodyText"/>
              <w:kinsoku w:val="0"/>
              <w:overflowPunct w:val="0"/>
              <w:spacing w:line="360" w:lineRule="auto"/>
              <w:ind w:left="851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E226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-Introduction to COVID-19: methods for detection, prevention, response and control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Pr="00543F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WHO</w:t>
            </w:r>
          </w:p>
          <w:p w:rsidR="002946C1" w:rsidRPr="00FD3B67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4F6E35" w:rsidRPr="001E2269" w:rsidRDefault="004F6E35" w:rsidP="004F6E35">
            <w:pPr>
              <w:pStyle w:val="BodyText"/>
              <w:kinsoku w:val="0"/>
              <w:overflowPunct w:val="0"/>
              <w:spacing w:line="360" w:lineRule="auto"/>
              <w:ind w:left="851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E226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hyperlink r:id="rId7" w:tooltip="Severe Acute Respiratory Infection (SARI) Treatment Facility Design" w:history="1">
              <w:r w:rsidRPr="001E2269">
                <w:rPr>
                  <w:rFonts w:asciiTheme="majorBidi" w:hAnsiTheme="majorBidi" w:cstheme="majorBidi"/>
                  <w:sz w:val="24"/>
                  <w:szCs w:val="24"/>
                </w:rPr>
                <w:t>Severe Acute Respiratory Infection (SARI) Treatment Facility Design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543F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WHO</w:t>
            </w:r>
          </w:p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4F6E35" w:rsidRPr="001E2269" w:rsidRDefault="004F6E35" w:rsidP="004F6E35">
            <w:pPr>
              <w:pStyle w:val="BodyText"/>
              <w:kinsoku w:val="0"/>
              <w:overflowPunct w:val="0"/>
              <w:spacing w:line="360" w:lineRule="auto"/>
              <w:ind w:left="851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E226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hyperlink r:id="rId8" w:tooltip="Decontamination and sterilization of medical devices " w:history="1">
              <w:r w:rsidRPr="001E2269">
                <w:rPr>
                  <w:rFonts w:asciiTheme="majorBidi" w:hAnsiTheme="majorBidi" w:cstheme="majorBidi"/>
                  <w:sz w:val="24"/>
                  <w:szCs w:val="24"/>
                </w:rPr>
                <w:t>Decontamination and sterilization of medical devices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543F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WHO</w:t>
            </w:r>
          </w:p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4F6E35" w:rsidRPr="001E2269" w:rsidRDefault="004F6E35" w:rsidP="004F6E35">
            <w:pPr>
              <w:pStyle w:val="BodyText"/>
              <w:kinsoku w:val="0"/>
              <w:overflowPunct w:val="0"/>
              <w:spacing w:line="360" w:lineRule="auto"/>
              <w:ind w:left="851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E226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-Infection Prevention and Control (IPC) core components and multimodal strategies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Pr="00543F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WHO</w:t>
            </w:r>
          </w:p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4F6E35" w:rsidRPr="001E2269" w:rsidRDefault="004F6E35" w:rsidP="004F6E35">
            <w:pPr>
              <w:pStyle w:val="BodyText"/>
              <w:kinsoku w:val="0"/>
              <w:overflowPunct w:val="0"/>
              <w:spacing w:line="360" w:lineRule="auto"/>
              <w:ind w:left="851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E226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-PPE and Respiratory Protection while caring for COVID19 Patients,veterans health administration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CDC</w:t>
            </w:r>
            <w:r w:rsidRPr="001E226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, USA</w:t>
            </w:r>
          </w:p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4F6E35" w:rsidRPr="001E2269" w:rsidRDefault="004F6E35" w:rsidP="004F6E35">
            <w:pPr>
              <w:pStyle w:val="BodyText"/>
              <w:kinsoku w:val="0"/>
              <w:overflowPunct w:val="0"/>
              <w:spacing w:line="360" w:lineRule="auto"/>
              <w:ind w:left="851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E226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hyperlink r:id="rId9" w:tooltip="Standard precautions: Injection safety and needle-stick injury management" w:history="1">
              <w:r w:rsidRPr="001E2269">
                <w:rPr>
                  <w:rFonts w:asciiTheme="majorBidi" w:hAnsiTheme="majorBidi" w:cstheme="majorBidi"/>
                  <w:sz w:val="24"/>
                  <w:szCs w:val="24"/>
                </w:rPr>
                <w:t>Standard precautions: Injection safety and needle-stick injury management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543F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WHO</w:t>
            </w:r>
          </w:p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4F6E35" w:rsidRPr="001E2269" w:rsidRDefault="004F6E35" w:rsidP="004F6E35">
            <w:pPr>
              <w:pStyle w:val="BodyText"/>
              <w:kinsoku w:val="0"/>
              <w:overflowPunct w:val="0"/>
              <w:spacing w:line="360" w:lineRule="auto"/>
              <w:ind w:left="851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E226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hyperlink r:id="rId10" w:tooltip="Standard precautions: Waste management" w:history="1">
              <w:r w:rsidRPr="001E2269">
                <w:rPr>
                  <w:rFonts w:asciiTheme="majorBidi" w:hAnsiTheme="majorBidi" w:cstheme="majorBidi"/>
                  <w:sz w:val="24"/>
                  <w:szCs w:val="24"/>
                </w:rPr>
                <w:t>Standard precautions: Waste management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543F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WHO</w:t>
            </w:r>
          </w:p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4F6E35" w:rsidRPr="001E2269" w:rsidRDefault="004F6E35" w:rsidP="004F6E35">
            <w:pPr>
              <w:pStyle w:val="BodyText"/>
              <w:kinsoku w:val="0"/>
              <w:overflowPunct w:val="0"/>
              <w:spacing w:line="360" w:lineRule="auto"/>
              <w:ind w:left="851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E226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hyperlink r:id="rId11" w:tooltip="Standard precautions: Environmental cleaning and disinfection" w:history="1">
              <w:r w:rsidRPr="001E2269">
                <w:rPr>
                  <w:rFonts w:asciiTheme="majorBidi" w:hAnsiTheme="majorBidi" w:cstheme="majorBidi"/>
                  <w:sz w:val="24"/>
                  <w:szCs w:val="24"/>
                </w:rPr>
                <w:t>Standard precautions: Environmental cleaning and disinfection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543F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WHO</w:t>
            </w:r>
          </w:p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4F6E35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87D82">
              <w:rPr>
                <w:rFonts w:asciiTheme="majorBidi" w:hAnsiTheme="majorBidi" w:cstheme="majorBidi"/>
                <w:color w:val="252525"/>
                <w:sz w:val="24"/>
                <w:szCs w:val="24"/>
              </w:rPr>
              <w:t>PCR</w:t>
            </w:r>
            <w:r w:rsidRPr="00787D82">
              <w:rPr>
                <w:rFonts w:asciiTheme="majorBidi" w:hAnsiTheme="majorBidi" w:cstheme="majorBidi"/>
                <w:color w:val="252525"/>
                <w:spacing w:val="-6"/>
                <w:sz w:val="24"/>
                <w:szCs w:val="24"/>
              </w:rPr>
              <w:t xml:space="preserve"> </w:t>
            </w:r>
            <w:r w:rsidRPr="00787D82">
              <w:rPr>
                <w:rFonts w:asciiTheme="majorBidi" w:hAnsiTheme="majorBidi" w:cstheme="majorBidi"/>
                <w:color w:val="252525"/>
                <w:sz w:val="24"/>
                <w:szCs w:val="24"/>
              </w:rPr>
              <w:t>,</w:t>
            </w:r>
            <w:r w:rsidRPr="00787D82">
              <w:rPr>
                <w:rFonts w:asciiTheme="majorBidi" w:hAnsiTheme="majorBidi" w:cstheme="majorBidi"/>
                <w:color w:val="252525"/>
                <w:spacing w:val="-6"/>
                <w:sz w:val="24"/>
                <w:szCs w:val="24"/>
              </w:rPr>
              <w:t xml:space="preserve"> </w:t>
            </w:r>
            <w:r w:rsidRPr="00787D82">
              <w:rPr>
                <w:rFonts w:asciiTheme="majorBidi" w:hAnsiTheme="majorBidi" w:cstheme="majorBidi"/>
                <w:color w:val="252525"/>
                <w:spacing w:val="-2"/>
                <w:sz w:val="24"/>
                <w:szCs w:val="24"/>
              </w:rPr>
              <w:t>medical microbiology &amp; immunology department,</w:t>
            </w:r>
            <w:r w:rsidRPr="00787D82">
              <w:rPr>
                <w:rFonts w:asciiTheme="majorBidi" w:hAnsiTheme="majorBidi" w:cstheme="majorBidi"/>
                <w:color w:val="252525"/>
                <w:spacing w:val="-6"/>
                <w:sz w:val="24"/>
                <w:szCs w:val="24"/>
              </w:rPr>
              <w:t xml:space="preserve"> </w:t>
            </w:r>
            <w:r w:rsidRPr="00787D82">
              <w:rPr>
                <w:rFonts w:asciiTheme="majorBidi" w:hAnsiTheme="majorBidi" w:cstheme="majorBidi"/>
                <w:color w:val="252525"/>
                <w:sz w:val="24"/>
                <w:szCs w:val="24"/>
              </w:rPr>
              <w:t>Benha</w:t>
            </w:r>
            <w:r w:rsidRPr="00787D82">
              <w:rPr>
                <w:rFonts w:asciiTheme="majorBidi" w:hAnsiTheme="majorBidi" w:cstheme="majorBidi"/>
                <w:color w:val="252525"/>
                <w:spacing w:val="-6"/>
                <w:sz w:val="24"/>
                <w:szCs w:val="24"/>
              </w:rPr>
              <w:t xml:space="preserve"> </w:t>
            </w:r>
            <w:r w:rsidRPr="00787D82">
              <w:rPr>
                <w:rFonts w:asciiTheme="majorBidi" w:hAnsiTheme="majorBidi" w:cstheme="majorBidi"/>
                <w:color w:val="252525"/>
                <w:sz w:val="24"/>
                <w:szCs w:val="24"/>
              </w:rPr>
              <w:t>University.</w:t>
            </w:r>
          </w:p>
        </w:tc>
        <w:tc>
          <w:tcPr>
            <w:tcW w:w="1439" w:type="dxa"/>
          </w:tcPr>
          <w:p w:rsidR="002946C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39" w:type="dxa"/>
          </w:tcPr>
          <w:p w:rsidR="002946C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946C1" w:rsidRDefault="002946C1" w:rsidP="002946C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7969">
        <w:rPr>
          <w:rFonts w:ascii="Arial" w:hAnsi="Arial"/>
          <w:b/>
          <w:bCs/>
        </w:rPr>
        <w:t>Activities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faculty/university/community 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>service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946C1" w:rsidRPr="001502C5" w:rsidRDefault="002946C1" w:rsidP="002946C1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vanish/>
          <w:sz w:val="16"/>
          <w:szCs w:val="16"/>
          <w:lang w:eastAsia="ja-JP"/>
        </w:rPr>
        <w:t>Top of Form</w:t>
      </w:r>
    </w:p>
    <w:p w:rsidR="00534375" w:rsidRPr="002022F9" w:rsidRDefault="002946C1" w:rsidP="002022F9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2022F9">
        <w:rPr>
          <w:rFonts w:ascii="Arial" w:eastAsia="Times New Roman" w:hAnsi="Arial" w:cs="Arial"/>
          <w:color w:val="222222"/>
          <w:lang w:eastAsia="ja-JP"/>
        </w:rPr>
        <w:t xml:space="preserve">1. </w:t>
      </w:r>
    </w:p>
    <w:p w:rsidR="00534375" w:rsidRDefault="004F6E3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>
        <w:rPr>
          <w:rFonts w:ascii="Arial" w:eastAsia="Times New Roman" w:hAnsi="Arial" w:cs="Arial"/>
          <w:color w:val="222222"/>
          <w:lang w:eastAsia="ja-JP"/>
        </w:rPr>
        <w:t>member of quality unity, faculty of medicine, benha university.</w:t>
      </w:r>
    </w:p>
    <w:p w:rsidR="004F6E35" w:rsidRDefault="004F6E3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>
        <w:rPr>
          <w:rFonts w:ascii="Arial" w:eastAsia="Times New Roman" w:hAnsi="Arial" w:cs="Arial"/>
          <w:color w:val="222222"/>
          <w:lang w:eastAsia="ja-JP"/>
        </w:rPr>
        <w:t xml:space="preserve">2. </w:t>
      </w:r>
      <w:r w:rsidR="009E6934">
        <w:rPr>
          <w:rFonts w:ascii="Arial" w:eastAsia="Times New Roman" w:hAnsi="Arial" w:cs="Arial"/>
          <w:color w:val="222222"/>
          <w:lang w:eastAsia="ja-JP"/>
        </w:rPr>
        <w:t xml:space="preserve">former </w:t>
      </w:r>
      <w:r>
        <w:rPr>
          <w:rFonts w:ascii="Arial" w:eastAsia="Times New Roman" w:hAnsi="Arial" w:cs="Arial"/>
          <w:color w:val="222222"/>
          <w:lang w:eastAsia="ja-JP"/>
        </w:rPr>
        <w:t>deputy director of infection control deparment, benha university hospital</w:t>
      </w:r>
    </w:p>
    <w:p w:rsidR="004F6E35" w:rsidRDefault="004F6E3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>
        <w:rPr>
          <w:rFonts w:ascii="Arial" w:eastAsia="Times New Roman" w:hAnsi="Arial" w:cs="Arial"/>
          <w:color w:val="222222"/>
          <w:lang w:eastAsia="ja-JP"/>
        </w:rPr>
        <w:t>3.member of central research laboratory, benha university.</w:t>
      </w:r>
    </w:p>
    <w:p w:rsidR="002946C1" w:rsidRPr="00534375" w:rsidRDefault="002946C1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534375">
        <w:rPr>
          <w:rFonts w:ascii="Arial" w:eastAsia="Times New Roman" w:hAnsi="Arial" w:cs="Arial"/>
          <w:color w:val="222222"/>
          <w:lang w:eastAsia="ja-JP"/>
        </w:rPr>
        <w:br/>
      </w:r>
    </w:p>
    <w:p w:rsidR="002946C1" w:rsidRPr="001502C5" w:rsidRDefault="002946C1" w:rsidP="002946C1">
      <w:pPr>
        <w:pStyle w:val="ListParagraph"/>
        <w:numPr>
          <w:ilvl w:val="0"/>
          <w:numId w:val="1"/>
        </w:numPr>
        <w:shd w:val="clear" w:color="auto" w:fill="2A2A2A"/>
        <w:wordWrap w:val="0"/>
        <w:spacing w:after="0" w:line="240" w:lineRule="auto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  <w:r w:rsidRPr="001502C5"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  <w:t>Click to edit and see alternate translations</w:t>
      </w:r>
    </w:p>
    <w:p w:rsidR="002946C1" w:rsidRPr="00FE025C" w:rsidRDefault="002946C1" w:rsidP="002946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46C1" w:rsidRDefault="002946C1" w:rsidP="002946C1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Papers and researches all of them are publicated:</w:t>
      </w:r>
    </w:p>
    <w:p w:rsidR="009E6934" w:rsidRPr="009E6934" w:rsidRDefault="004F6E35" w:rsidP="002022F9">
      <w:pPr>
        <w:pStyle w:val="BodyText"/>
        <w:numPr>
          <w:ilvl w:val="0"/>
          <w:numId w:val="7"/>
        </w:numPr>
        <w:kinsoku w:val="0"/>
        <w:overflowPunct w:val="0"/>
        <w:spacing w:line="360" w:lineRule="auto"/>
        <w:ind w:left="360" w:right="26"/>
        <w:jc w:val="both"/>
        <w:rPr>
          <w:rFonts w:asciiTheme="majorBidi" w:hAnsiTheme="majorBidi" w:cstheme="majorBidi"/>
          <w:color w:val="252525"/>
          <w:sz w:val="24"/>
          <w:szCs w:val="24"/>
        </w:rPr>
      </w:pPr>
      <w:r w:rsidRPr="004F6E3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787D82">
        <w:rPr>
          <w:rFonts w:asciiTheme="majorBidi" w:hAnsiTheme="majorBidi" w:cstheme="majorBidi"/>
          <w:color w:val="252525"/>
          <w:sz w:val="24"/>
          <w:szCs w:val="24"/>
        </w:rPr>
        <w:t>Mohamed G ., Gamal A ., Sherin M . and Amira E . (2020): Multidrug Efflux Pump In Relation To Antibiotic Resistance Pattern in Escherichia Coli Strains Isolated From Benha University Hospital, EJMM. vol.29, No.2: 87- 94.</w:t>
      </w:r>
    </w:p>
    <w:p w:rsidR="00534375" w:rsidRPr="002022F9" w:rsidRDefault="002022F9" w:rsidP="002022F9">
      <w:pPr>
        <w:numPr>
          <w:ilvl w:val="0"/>
          <w:numId w:val="7"/>
        </w:numPr>
        <w:shd w:val="clear" w:color="auto" w:fill="FFFFFF"/>
        <w:kinsoku w:val="0"/>
        <w:overflowPunct w:val="0"/>
        <w:spacing w:beforeAutospacing="1" w:after="0" w:afterAutospacing="1" w:line="360" w:lineRule="auto"/>
        <w:ind w:left="360" w:right="26"/>
        <w:jc w:val="both"/>
        <w:rPr>
          <w:rFonts w:asciiTheme="majorBidi" w:hAnsiTheme="majorBidi" w:cstheme="majorBidi"/>
          <w:color w:val="252525"/>
        </w:rPr>
      </w:pPr>
      <w:hyperlink r:id="rId12" w:history="1">
        <w:r w:rsidR="004F6E35" w:rsidRPr="00787D82">
          <w:rPr>
            <w:rFonts w:asciiTheme="majorBidi" w:hAnsiTheme="majorBidi" w:cstheme="majorBidi"/>
            <w:color w:val="252525"/>
          </w:rPr>
          <w:t>Ahmed S. ,</w:t>
        </w:r>
      </w:hyperlink>
      <w:hyperlink r:id="rId13" w:history="1">
        <w:r w:rsidR="004F6E35" w:rsidRPr="00787D82">
          <w:rPr>
            <w:rFonts w:asciiTheme="majorBidi" w:hAnsiTheme="majorBidi" w:cstheme="majorBidi"/>
            <w:color w:val="252525"/>
          </w:rPr>
          <w:t>Somaya M. ,</w:t>
        </w:r>
      </w:hyperlink>
      <w:r w:rsidR="004F6E35" w:rsidRPr="00787D82">
        <w:rPr>
          <w:rFonts w:asciiTheme="majorBidi" w:hAnsiTheme="majorBidi" w:cstheme="majorBidi"/>
          <w:color w:val="252525"/>
        </w:rPr>
        <w:t xml:space="preserve"> </w:t>
      </w:r>
      <w:hyperlink r:id="rId14" w:history="1">
        <w:r w:rsidR="004F6E35" w:rsidRPr="00787D82">
          <w:rPr>
            <w:rFonts w:asciiTheme="majorBidi" w:hAnsiTheme="majorBidi" w:cstheme="majorBidi"/>
            <w:color w:val="252525"/>
          </w:rPr>
          <w:t xml:space="preserve">Mohammed D. </w:t>
        </w:r>
      </w:hyperlink>
      <w:r w:rsidR="004F6E35" w:rsidRPr="00787D82">
        <w:rPr>
          <w:rFonts w:asciiTheme="majorBidi" w:hAnsiTheme="majorBidi" w:cstheme="majorBidi"/>
          <w:color w:val="252525"/>
        </w:rPr>
        <w:t xml:space="preserve">and Amira E.(2016): Diagnostic Value of Anti-Mutated Citrullinated Vimentin versus Anti-Keratin Anti-Bodies in Early Diagnosis of Rheumatoid Arthritis, EJMM, </w:t>
      </w:r>
      <w:r w:rsidR="004F6E35" w:rsidRPr="00787D82">
        <w:rPr>
          <w:rFonts w:asciiTheme="majorBidi" w:hAnsiTheme="majorBidi" w:cstheme="majorBidi"/>
          <w:shd w:val="clear" w:color="auto" w:fill="FFFFFF"/>
        </w:rPr>
        <w:t>25(2):43-48</w:t>
      </w:r>
      <w:r w:rsidR="004F6E35" w:rsidRPr="00787D82">
        <w:rPr>
          <w:rFonts w:asciiTheme="majorBidi" w:hAnsiTheme="majorBidi" w:cstheme="majorBidi"/>
          <w:color w:val="252525"/>
        </w:rPr>
        <w:t>; doi:10.3390/cells7120226</w:t>
      </w:r>
    </w:p>
    <w:p w:rsidR="009E6934" w:rsidRPr="005B1ECC" w:rsidRDefault="009E6934" w:rsidP="002022F9">
      <w:pPr>
        <w:numPr>
          <w:ilvl w:val="0"/>
          <w:numId w:val="7"/>
        </w:numPr>
        <w:shd w:val="clear" w:color="auto" w:fill="FFFFFF"/>
        <w:kinsoku w:val="0"/>
        <w:overflowPunct w:val="0"/>
        <w:spacing w:beforeAutospacing="1" w:after="0" w:afterAutospacing="1" w:line="360" w:lineRule="auto"/>
        <w:ind w:left="360" w:right="26"/>
        <w:jc w:val="both"/>
        <w:rPr>
          <w:rFonts w:asciiTheme="majorBidi" w:hAnsiTheme="majorBidi" w:cstheme="majorBidi"/>
          <w:color w:val="252525"/>
        </w:rPr>
      </w:pPr>
      <w:r w:rsidRPr="005B1ECC">
        <w:rPr>
          <w:rFonts w:asciiTheme="majorBidi" w:hAnsiTheme="majorBidi" w:cstheme="majorBidi"/>
          <w:color w:val="252525"/>
        </w:rPr>
        <w:t>Amira E. Ramadan, Marwa S. Azab, Abeer E. Abdelmaksoud, Etemad A. Mohammad,  Nashwa A. Amin, Amira H. Allam, Samah M. Eldsouky, Amany K. Shahat</w:t>
      </w:r>
      <w:r>
        <w:rPr>
          <w:rFonts w:asciiTheme="majorBidi" w:hAnsiTheme="majorBidi" w:cstheme="majorBidi"/>
          <w:color w:val="252525"/>
        </w:rPr>
        <w:t xml:space="preserve"> (2020) </w:t>
      </w:r>
      <w:r w:rsidRPr="005B1ECC">
        <w:rPr>
          <w:rFonts w:asciiTheme="majorBidi" w:hAnsiTheme="majorBidi" w:cstheme="majorBidi"/>
          <w:color w:val="252525"/>
        </w:rPr>
        <w:t>: Serum Levels of Intercellular Adhesion Molecule-1 and TNF-</w:t>
      </w:r>
      <w:r w:rsidRPr="005B1ECC">
        <w:rPr>
          <w:rFonts w:asciiTheme="majorBidi" w:hAnsiTheme="majorBidi" w:cstheme="majorBidi"/>
          <w:color w:val="252525"/>
        </w:rPr>
        <w:t> in Patients with COVID-19 and Its Relation to Disease Severity</w:t>
      </w:r>
      <w:r>
        <w:rPr>
          <w:rFonts w:asciiTheme="majorBidi" w:hAnsiTheme="majorBidi" w:cstheme="majorBidi"/>
          <w:color w:val="252525"/>
        </w:rPr>
        <w:t>;</w:t>
      </w:r>
      <w:r w:rsidRPr="005B1ECC">
        <w:rPr>
          <w:rFonts w:asciiTheme="majorBidi" w:hAnsiTheme="majorBidi" w:cstheme="majorBidi"/>
          <w:color w:val="252525"/>
        </w:rPr>
        <w:t xml:space="preserve"> The Egyptian Jo</w:t>
      </w:r>
      <w:r>
        <w:rPr>
          <w:rFonts w:asciiTheme="majorBidi" w:hAnsiTheme="majorBidi" w:cstheme="majorBidi"/>
          <w:color w:val="252525"/>
        </w:rPr>
        <w:t>urnal of Hospital Medicine ,</w:t>
      </w:r>
      <w:r w:rsidRPr="005B1ECC">
        <w:rPr>
          <w:rFonts w:asciiTheme="majorBidi" w:hAnsiTheme="majorBidi" w:cstheme="majorBidi"/>
          <w:color w:val="252525"/>
        </w:rPr>
        <w:t>. 88,</w:t>
      </w:r>
      <w:r>
        <w:rPr>
          <w:rFonts w:asciiTheme="majorBidi" w:hAnsiTheme="majorBidi" w:cstheme="majorBidi"/>
          <w:color w:val="252525"/>
        </w:rPr>
        <w:t xml:space="preserve"> 3426:</w:t>
      </w:r>
      <w:r w:rsidRPr="005B1ECC">
        <w:rPr>
          <w:rFonts w:asciiTheme="majorBidi" w:hAnsiTheme="majorBidi" w:cstheme="majorBidi"/>
          <w:color w:val="252525"/>
        </w:rPr>
        <w:t xml:space="preserve">3432 </w:t>
      </w:r>
    </w:p>
    <w:p w:rsidR="009E6934" w:rsidRDefault="009E6934" w:rsidP="002022F9">
      <w:pPr>
        <w:numPr>
          <w:ilvl w:val="0"/>
          <w:numId w:val="7"/>
        </w:numPr>
        <w:shd w:val="clear" w:color="auto" w:fill="FFFFFF"/>
        <w:kinsoku w:val="0"/>
        <w:overflowPunct w:val="0"/>
        <w:spacing w:beforeAutospacing="1" w:after="0" w:afterAutospacing="1" w:line="360" w:lineRule="auto"/>
        <w:ind w:left="360" w:right="26"/>
        <w:jc w:val="both"/>
        <w:rPr>
          <w:rFonts w:asciiTheme="majorBidi" w:hAnsiTheme="majorBidi" w:cstheme="majorBidi"/>
          <w:color w:val="252525"/>
        </w:rPr>
      </w:pPr>
      <w:hyperlink r:id="rId15" w:history="1">
        <w:r w:rsidRPr="00F359A4">
          <w:rPr>
            <w:rFonts w:asciiTheme="majorBidi" w:hAnsiTheme="majorBidi" w:cstheme="majorBidi"/>
            <w:color w:val="252525"/>
          </w:rPr>
          <w:t>Asmaa A Elkholy </w:t>
        </w:r>
      </w:hyperlink>
      <w:r w:rsidRPr="00F359A4">
        <w:rPr>
          <w:rFonts w:asciiTheme="majorBidi" w:hAnsiTheme="majorBidi" w:cstheme="majorBidi"/>
          <w:color w:val="252525"/>
        </w:rPr>
        <w:t>; </w:t>
      </w:r>
      <w:hyperlink r:id="rId16" w:history="1">
        <w:r w:rsidRPr="00F359A4">
          <w:rPr>
            <w:rFonts w:asciiTheme="majorBidi" w:hAnsiTheme="majorBidi" w:cstheme="majorBidi"/>
            <w:color w:val="252525"/>
          </w:rPr>
          <w:t>Ghada Helmy Omar</w:t>
        </w:r>
      </w:hyperlink>
      <w:r w:rsidRPr="00F359A4">
        <w:rPr>
          <w:rFonts w:asciiTheme="majorBidi" w:hAnsiTheme="majorBidi" w:cstheme="majorBidi"/>
          <w:color w:val="252525"/>
        </w:rPr>
        <w:t>; </w:t>
      </w:r>
      <w:hyperlink r:id="rId17" w:history="1">
        <w:r w:rsidRPr="00F359A4">
          <w:rPr>
            <w:rFonts w:asciiTheme="majorBidi" w:hAnsiTheme="majorBidi" w:cstheme="majorBidi"/>
            <w:color w:val="252525"/>
          </w:rPr>
          <w:t>Ayman Mohamed Elbadawy</w:t>
        </w:r>
      </w:hyperlink>
      <w:r w:rsidRPr="00F359A4">
        <w:rPr>
          <w:rFonts w:asciiTheme="majorBidi" w:hAnsiTheme="majorBidi" w:cstheme="majorBidi"/>
          <w:color w:val="252525"/>
        </w:rPr>
        <w:t>; </w:t>
      </w:r>
      <w:hyperlink r:id="rId18" w:history="1">
        <w:r w:rsidRPr="00F359A4">
          <w:rPr>
            <w:rFonts w:asciiTheme="majorBidi" w:hAnsiTheme="majorBidi" w:cstheme="majorBidi"/>
            <w:color w:val="252525"/>
          </w:rPr>
          <w:t>Rasha A Omar</w:t>
        </w:r>
      </w:hyperlink>
      <w:r w:rsidRPr="00F359A4">
        <w:rPr>
          <w:rFonts w:asciiTheme="majorBidi" w:hAnsiTheme="majorBidi" w:cstheme="majorBidi"/>
          <w:color w:val="252525"/>
        </w:rPr>
        <w:t>; </w:t>
      </w:r>
      <w:hyperlink r:id="rId19" w:history="1">
        <w:r w:rsidRPr="00F359A4">
          <w:rPr>
            <w:rFonts w:asciiTheme="majorBidi" w:hAnsiTheme="majorBidi" w:cstheme="majorBidi"/>
            <w:color w:val="252525"/>
          </w:rPr>
          <w:t>Amira A Mohamady</w:t>
        </w:r>
      </w:hyperlink>
      <w:r w:rsidRPr="00F359A4">
        <w:rPr>
          <w:rFonts w:asciiTheme="majorBidi" w:hAnsiTheme="majorBidi" w:cstheme="majorBidi"/>
          <w:color w:val="252525"/>
        </w:rPr>
        <w:t>; </w:t>
      </w:r>
      <w:hyperlink r:id="rId20" w:history="1">
        <w:r w:rsidRPr="00F359A4">
          <w:rPr>
            <w:rFonts w:asciiTheme="majorBidi" w:hAnsiTheme="majorBidi" w:cstheme="majorBidi"/>
            <w:color w:val="252525"/>
          </w:rPr>
          <w:t>Rabab ELSAYED Omar</w:t>
        </w:r>
      </w:hyperlink>
      <w:r w:rsidRPr="00F359A4">
        <w:rPr>
          <w:rFonts w:asciiTheme="majorBidi" w:hAnsiTheme="majorBidi" w:cstheme="majorBidi"/>
          <w:color w:val="252525"/>
        </w:rPr>
        <w:t>; </w:t>
      </w:r>
      <w:hyperlink r:id="rId21" w:history="1">
        <w:r w:rsidRPr="00F359A4">
          <w:rPr>
            <w:rFonts w:asciiTheme="majorBidi" w:hAnsiTheme="majorBidi" w:cstheme="majorBidi"/>
            <w:color w:val="252525"/>
          </w:rPr>
          <w:t>Amira Essam Ramadan</w:t>
        </w:r>
      </w:hyperlink>
      <w:r w:rsidRPr="00F359A4">
        <w:rPr>
          <w:rFonts w:asciiTheme="majorBidi" w:hAnsiTheme="majorBidi" w:cstheme="majorBidi"/>
          <w:color w:val="252525"/>
        </w:rPr>
        <w:t>; </w:t>
      </w:r>
      <w:hyperlink r:id="rId22" w:history="1">
        <w:r w:rsidRPr="00F359A4">
          <w:rPr>
            <w:rFonts w:asciiTheme="majorBidi" w:hAnsiTheme="majorBidi" w:cstheme="majorBidi"/>
            <w:color w:val="252525"/>
          </w:rPr>
          <w:t>Eman Mohammed Araby</w:t>
        </w:r>
      </w:hyperlink>
      <w:r w:rsidRPr="00F359A4">
        <w:rPr>
          <w:rFonts w:asciiTheme="majorBidi" w:hAnsiTheme="majorBidi" w:cstheme="majorBidi"/>
          <w:color w:val="252525"/>
        </w:rPr>
        <w:t>; </w:t>
      </w:r>
      <w:hyperlink r:id="rId23" w:history="1">
        <w:r w:rsidRPr="00F359A4">
          <w:rPr>
            <w:rFonts w:asciiTheme="majorBidi" w:hAnsiTheme="majorBidi" w:cstheme="majorBidi"/>
            <w:color w:val="252525"/>
          </w:rPr>
          <w:t>Seham Gouda Ameen</w:t>
        </w:r>
      </w:hyperlink>
      <w:r w:rsidRPr="00F359A4">
        <w:rPr>
          <w:rFonts w:asciiTheme="majorBidi" w:hAnsiTheme="majorBidi" w:cstheme="majorBidi"/>
          <w:color w:val="252525"/>
        </w:rPr>
        <w:t>; </w:t>
      </w:r>
      <w:hyperlink r:id="rId24" w:history="1">
        <w:r w:rsidRPr="00F359A4">
          <w:rPr>
            <w:rFonts w:asciiTheme="majorBidi" w:hAnsiTheme="majorBidi" w:cstheme="majorBidi"/>
            <w:color w:val="252525"/>
          </w:rPr>
          <w:t>Ahmed Ezzat Mansour</w:t>
        </w:r>
      </w:hyperlink>
      <w:r>
        <w:rPr>
          <w:rFonts w:asciiTheme="majorBidi" w:hAnsiTheme="majorBidi" w:cstheme="majorBidi"/>
          <w:color w:val="252525"/>
        </w:rPr>
        <w:t xml:space="preserve">(2023): </w:t>
      </w:r>
      <w:r w:rsidRPr="00F359A4">
        <w:rPr>
          <w:rFonts w:asciiTheme="majorBidi" w:hAnsiTheme="majorBidi" w:cstheme="majorBidi"/>
          <w:color w:val="252525"/>
        </w:rPr>
        <w:t>Does Latent Toxoplasmosis Impacts SARS-CoV-2 Infection Severity and Outcome?: A Cross-Sectional Study in Benha, Egypt</w:t>
      </w:r>
      <w:r>
        <w:rPr>
          <w:rFonts w:asciiTheme="majorBidi" w:hAnsiTheme="majorBidi" w:cstheme="majorBidi"/>
          <w:color w:val="252525"/>
        </w:rPr>
        <w:t>:benha medical journal,</w:t>
      </w:r>
      <w:r w:rsidRPr="00D26C5B">
        <w:rPr>
          <w:rFonts w:asciiTheme="majorBidi" w:hAnsiTheme="majorBidi" w:cstheme="majorBidi"/>
          <w:color w:val="252525"/>
        </w:rPr>
        <w:t xml:space="preserve"> </w:t>
      </w:r>
      <w:hyperlink r:id="rId25" w:history="1">
        <w:r w:rsidRPr="00D26C5B">
          <w:rPr>
            <w:rFonts w:asciiTheme="majorBidi" w:hAnsiTheme="majorBidi" w:cstheme="majorBidi"/>
            <w:color w:val="252525"/>
          </w:rPr>
          <w:t>40, 1</w:t>
        </w:r>
      </w:hyperlink>
      <w:r>
        <w:rPr>
          <w:rFonts w:asciiTheme="majorBidi" w:hAnsiTheme="majorBidi" w:cstheme="majorBidi"/>
          <w:color w:val="252525"/>
        </w:rPr>
        <w:t>, 80:</w:t>
      </w:r>
      <w:r w:rsidRPr="00D26C5B">
        <w:rPr>
          <w:rFonts w:asciiTheme="majorBidi" w:hAnsiTheme="majorBidi" w:cstheme="majorBidi"/>
          <w:color w:val="252525"/>
        </w:rPr>
        <w:t>96</w:t>
      </w:r>
    </w:p>
    <w:p w:rsidR="009E6934" w:rsidRDefault="009E6934" w:rsidP="002022F9">
      <w:pPr>
        <w:numPr>
          <w:ilvl w:val="0"/>
          <w:numId w:val="7"/>
        </w:numPr>
        <w:shd w:val="clear" w:color="auto" w:fill="FFFFFF"/>
        <w:kinsoku w:val="0"/>
        <w:overflowPunct w:val="0"/>
        <w:spacing w:beforeAutospacing="1" w:after="0" w:afterAutospacing="1" w:line="360" w:lineRule="auto"/>
        <w:ind w:left="360" w:right="26"/>
        <w:jc w:val="both"/>
        <w:rPr>
          <w:rFonts w:asciiTheme="majorBidi" w:hAnsiTheme="majorBidi" w:cstheme="majorBidi"/>
          <w:color w:val="252525"/>
        </w:rPr>
      </w:pPr>
      <w:hyperlink r:id="rId26" w:history="1">
        <w:r w:rsidRPr="00396C4B">
          <w:rPr>
            <w:rFonts w:asciiTheme="majorBidi" w:hAnsiTheme="majorBidi" w:cstheme="majorBidi"/>
            <w:color w:val="252525"/>
          </w:rPr>
          <w:t>Amal M. Dawoud</w:t>
        </w:r>
      </w:hyperlink>
      <w:r w:rsidRPr="00396C4B">
        <w:rPr>
          <w:rFonts w:asciiTheme="majorBidi" w:hAnsiTheme="majorBidi" w:cstheme="majorBidi"/>
          <w:color w:val="252525"/>
        </w:rPr>
        <w:t>, </w:t>
      </w:r>
      <w:hyperlink r:id="rId27" w:history="1">
        <w:r w:rsidRPr="00396C4B">
          <w:rPr>
            <w:rFonts w:asciiTheme="majorBidi" w:hAnsiTheme="majorBidi" w:cstheme="majorBidi"/>
            <w:color w:val="252525"/>
          </w:rPr>
          <w:t>Sara A. Saied</w:t>
        </w:r>
      </w:hyperlink>
      <w:r w:rsidRPr="00396C4B">
        <w:rPr>
          <w:rFonts w:asciiTheme="majorBidi" w:hAnsiTheme="majorBidi" w:cstheme="majorBidi"/>
          <w:color w:val="252525"/>
        </w:rPr>
        <w:t>, </w:t>
      </w:r>
      <w:hyperlink r:id="rId28" w:history="1">
        <w:r w:rsidRPr="00396C4B">
          <w:rPr>
            <w:rFonts w:asciiTheme="majorBidi" w:hAnsiTheme="majorBidi" w:cstheme="majorBidi"/>
            <w:color w:val="252525"/>
          </w:rPr>
          <w:t>Mohammad M. Torayah</w:t>
        </w:r>
      </w:hyperlink>
      <w:r w:rsidRPr="00396C4B">
        <w:rPr>
          <w:rFonts w:asciiTheme="majorBidi" w:hAnsiTheme="majorBidi" w:cstheme="majorBidi"/>
          <w:color w:val="252525"/>
        </w:rPr>
        <w:t>, </w:t>
      </w:r>
      <w:hyperlink r:id="rId29" w:history="1">
        <w:r w:rsidRPr="00396C4B">
          <w:rPr>
            <w:rFonts w:asciiTheme="majorBidi" w:hAnsiTheme="majorBidi" w:cstheme="majorBidi"/>
            <w:color w:val="252525"/>
          </w:rPr>
          <w:t>Amira E. Ramadan</w:t>
        </w:r>
      </w:hyperlink>
      <w:r w:rsidRPr="00396C4B">
        <w:rPr>
          <w:rFonts w:asciiTheme="majorBidi" w:hAnsiTheme="majorBidi" w:cstheme="majorBidi"/>
          <w:color w:val="252525"/>
        </w:rPr>
        <w:t> &amp; </w:t>
      </w:r>
      <w:hyperlink r:id="rId30" w:history="1">
        <w:r w:rsidRPr="00396C4B">
          <w:rPr>
            <w:rFonts w:asciiTheme="majorBidi" w:hAnsiTheme="majorBidi" w:cstheme="majorBidi"/>
            <w:color w:val="252525"/>
          </w:rPr>
          <w:t>Shymaa A. Elaskary</w:t>
        </w:r>
      </w:hyperlink>
      <w:r>
        <w:rPr>
          <w:rFonts w:asciiTheme="majorBidi" w:hAnsiTheme="majorBidi" w:cstheme="majorBidi"/>
          <w:color w:val="252525"/>
        </w:rPr>
        <w:t xml:space="preserve"> </w:t>
      </w:r>
      <w:r w:rsidRPr="00396C4B">
        <w:rPr>
          <w:rFonts w:asciiTheme="majorBidi" w:hAnsiTheme="majorBidi" w:cstheme="majorBidi"/>
          <w:color w:val="252525"/>
        </w:rPr>
        <w:t>(2024) : Antifungal susceptibility and virulence determinants profile of candida species isolated from patients with candidemia</w:t>
      </w:r>
      <w:r>
        <w:rPr>
          <w:rFonts w:asciiTheme="majorBidi" w:hAnsiTheme="majorBidi" w:cstheme="majorBidi"/>
          <w:color w:val="252525"/>
        </w:rPr>
        <w:t xml:space="preserve">; nature </w:t>
      </w:r>
      <w:hyperlink r:id="rId31" w:history="1">
        <w:r w:rsidRPr="00396C4B">
          <w:rPr>
            <w:rFonts w:asciiTheme="majorBidi" w:hAnsiTheme="majorBidi" w:cstheme="majorBidi"/>
            <w:color w:val="252525"/>
          </w:rPr>
          <w:t>Scientific Reports</w:t>
        </w:r>
      </w:hyperlink>
      <w:r w:rsidRPr="00396C4B">
        <w:rPr>
          <w:rFonts w:asciiTheme="majorBidi" w:hAnsiTheme="majorBidi" w:cstheme="majorBidi"/>
          <w:color w:val="252525"/>
        </w:rPr>
        <w:t> </w:t>
      </w:r>
      <w:r>
        <w:rPr>
          <w:rFonts w:asciiTheme="majorBidi" w:hAnsiTheme="majorBidi" w:cstheme="majorBidi"/>
          <w:color w:val="252525"/>
        </w:rPr>
        <w:t>,</w:t>
      </w:r>
      <w:r w:rsidRPr="00396C4B">
        <w:rPr>
          <w:rFonts w:asciiTheme="majorBidi" w:hAnsiTheme="majorBidi" w:cstheme="majorBidi"/>
          <w:color w:val="252525"/>
        </w:rPr>
        <w:t xml:space="preserve"> 14</w:t>
      </w:r>
      <w:r>
        <w:rPr>
          <w:rFonts w:asciiTheme="majorBidi" w:hAnsiTheme="majorBidi" w:cstheme="majorBidi"/>
          <w:color w:val="252525"/>
        </w:rPr>
        <w:t xml:space="preserve"> ,</w:t>
      </w:r>
      <w:r w:rsidRPr="00396C4B">
        <w:rPr>
          <w:rFonts w:asciiTheme="majorBidi" w:hAnsiTheme="majorBidi" w:cstheme="majorBidi"/>
          <w:color w:val="252525"/>
        </w:rPr>
        <w:t> 11597</w:t>
      </w:r>
      <w:r>
        <w:rPr>
          <w:rFonts w:asciiTheme="majorBidi" w:hAnsiTheme="majorBidi" w:cstheme="majorBidi"/>
          <w:color w:val="252525"/>
        </w:rPr>
        <w:t>.</w:t>
      </w:r>
    </w:p>
    <w:p w:rsidR="009E6934" w:rsidRPr="009E6934" w:rsidRDefault="007C2307" w:rsidP="002022F9">
      <w:pPr>
        <w:numPr>
          <w:ilvl w:val="0"/>
          <w:numId w:val="7"/>
        </w:numPr>
        <w:shd w:val="clear" w:color="auto" w:fill="FFFFFF"/>
        <w:kinsoku w:val="0"/>
        <w:overflowPunct w:val="0"/>
        <w:spacing w:beforeAutospacing="1" w:after="0" w:afterAutospacing="1" w:line="360" w:lineRule="auto"/>
        <w:ind w:left="360" w:right="26"/>
        <w:jc w:val="both"/>
        <w:rPr>
          <w:rFonts w:asciiTheme="majorBidi" w:hAnsiTheme="majorBidi" w:cstheme="majorBidi"/>
          <w:color w:val="252525"/>
        </w:rPr>
      </w:pPr>
      <w:r w:rsidRPr="007C2307">
        <w:rPr>
          <w:rFonts w:asciiTheme="majorBidi" w:hAnsiTheme="majorBidi" w:cstheme="majorBidi"/>
          <w:color w:val="252525"/>
        </w:rPr>
        <w:t>Amira E. Ramadana , Ahmed S. Elgazarb , N</w:t>
      </w:r>
      <w:r w:rsidRPr="007C2307">
        <w:rPr>
          <w:rFonts w:asciiTheme="majorBidi" w:hAnsiTheme="majorBidi" w:cstheme="majorBidi"/>
          <w:color w:val="252525"/>
        </w:rPr>
        <w:t>ashwa A. Aminc , Amira H. Allam</w:t>
      </w:r>
      <w:r w:rsidRPr="007C2307">
        <w:rPr>
          <w:rFonts w:asciiTheme="majorBidi" w:hAnsiTheme="majorBidi" w:cstheme="majorBidi"/>
          <w:color w:val="252525"/>
        </w:rPr>
        <w:t xml:space="preserve"> , Mai A. Elmahdyd , Naglaa A. B. Eldeena , Sara A. Saiede , Doaa A. Shaker</w:t>
      </w:r>
      <w:r w:rsidRPr="007C2307">
        <w:rPr>
          <w:rFonts w:asciiTheme="majorBidi" w:hAnsiTheme="majorBidi" w:cstheme="majorBidi"/>
          <w:color w:val="252525"/>
        </w:rPr>
        <w:t xml:space="preserve"> (2024)</w:t>
      </w:r>
      <w:r w:rsidR="009E6934" w:rsidRPr="007C2307">
        <w:rPr>
          <w:rFonts w:asciiTheme="majorBidi" w:hAnsiTheme="majorBidi" w:cstheme="majorBidi"/>
          <w:color w:val="252525"/>
        </w:rPr>
        <w:t>Efflux pumps encoding genes (adeA  and adeS) in relation to antibiotic resistence pattern in acinobacter baumannii strains isolated from benha university hospital</w:t>
      </w:r>
      <w:r w:rsidRPr="007C2307">
        <w:rPr>
          <w:rFonts w:asciiTheme="majorBidi" w:hAnsiTheme="majorBidi" w:cstheme="majorBidi"/>
          <w:color w:val="252525"/>
        </w:rPr>
        <w:t xml:space="preserve">, </w:t>
      </w:r>
      <w:r w:rsidRPr="007C2307">
        <w:rPr>
          <w:rFonts w:asciiTheme="majorBidi" w:hAnsiTheme="majorBidi" w:cstheme="majorBidi"/>
          <w:color w:val="252525"/>
        </w:rPr>
        <w:t>Egyption journal of chest disease and tuberculosis, 73:241–247</w:t>
      </w:r>
    </w:p>
    <w:p w:rsidR="009E6934" w:rsidRPr="007C2307" w:rsidRDefault="007C2307" w:rsidP="002022F9">
      <w:pPr>
        <w:numPr>
          <w:ilvl w:val="0"/>
          <w:numId w:val="7"/>
        </w:numPr>
        <w:shd w:val="clear" w:color="auto" w:fill="FFFFFF"/>
        <w:kinsoku w:val="0"/>
        <w:overflowPunct w:val="0"/>
        <w:spacing w:beforeAutospacing="1" w:after="0" w:afterAutospacing="1" w:line="360" w:lineRule="auto"/>
        <w:ind w:left="360" w:right="26"/>
        <w:jc w:val="both"/>
        <w:rPr>
          <w:rFonts w:asciiTheme="majorBidi" w:hAnsiTheme="majorBidi" w:cstheme="majorBidi"/>
          <w:color w:val="252525"/>
        </w:rPr>
      </w:pPr>
      <w:r w:rsidRPr="007C2307">
        <w:rPr>
          <w:rFonts w:asciiTheme="majorBidi" w:hAnsiTheme="majorBidi" w:cstheme="majorBidi"/>
          <w:color w:val="252525"/>
        </w:rPr>
        <w:lastRenderedPageBreak/>
        <w:t>Nashwa A. Amina , Asmaa E. Mohameda , Shimaa M.E. Wahdana , Amira E. Ramadanb , Shimaa M. Mohammedc , Marwa S.E. Abd-Elraoufd , Kout A.M. Diaba</w:t>
      </w:r>
      <w:r w:rsidRPr="007C2307">
        <w:rPr>
          <w:rFonts w:asciiTheme="majorBidi" w:hAnsiTheme="majorBidi" w:cstheme="majorBidi"/>
          <w:color w:val="252525"/>
        </w:rPr>
        <w:t xml:space="preserve"> </w:t>
      </w:r>
      <w:r>
        <w:rPr>
          <w:rFonts w:asciiTheme="majorBidi" w:hAnsiTheme="majorBidi" w:cstheme="majorBidi"/>
          <w:color w:val="252525"/>
        </w:rPr>
        <w:t xml:space="preserve">(2024): </w:t>
      </w:r>
      <w:r w:rsidRPr="007C2307">
        <w:rPr>
          <w:rFonts w:asciiTheme="majorBidi" w:hAnsiTheme="majorBidi" w:cstheme="majorBidi"/>
          <w:color w:val="252525"/>
        </w:rPr>
        <w:t>A novel interleukin 36 gamma for diagnosing and differentiating malignant from infectious pleural effusion, 73:382–388</w:t>
      </w:r>
    </w:p>
    <w:p w:rsidR="009E6934" w:rsidRPr="003B49C3" w:rsidRDefault="009E6934" w:rsidP="002022F9">
      <w:pPr>
        <w:numPr>
          <w:ilvl w:val="0"/>
          <w:numId w:val="7"/>
        </w:numPr>
        <w:shd w:val="clear" w:color="auto" w:fill="FFFFFF"/>
        <w:kinsoku w:val="0"/>
        <w:overflowPunct w:val="0"/>
        <w:spacing w:beforeAutospacing="1" w:after="0" w:afterAutospacing="1" w:line="360" w:lineRule="auto"/>
        <w:ind w:left="360" w:right="26"/>
        <w:jc w:val="both"/>
        <w:rPr>
          <w:rFonts w:asciiTheme="majorBidi" w:hAnsiTheme="majorBidi" w:cstheme="majorBidi"/>
          <w:color w:val="252525"/>
        </w:rPr>
      </w:pPr>
      <w:r w:rsidRPr="003B49C3">
        <w:rPr>
          <w:rFonts w:asciiTheme="majorBidi" w:hAnsiTheme="majorBidi" w:cstheme="majorBidi"/>
          <w:color w:val="252525"/>
        </w:rPr>
        <w:t>Amira E. Ramadan; Mohamed E. Ramadan; Nora M. Na</w:t>
      </w:r>
      <w:r w:rsidR="002022F9">
        <w:rPr>
          <w:rFonts w:asciiTheme="majorBidi" w:hAnsiTheme="majorBidi" w:cstheme="majorBidi"/>
          <w:color w:val="252525"/>
        </w:rPr>
        <w:t>ssar; Nashwa E. Ahmed; Riham N.</w:t>
      </w:r>
      <w:r w:rsidRPr="003B49C3">
        <w:rPr>
          <w:rFonts w:asciiTheme="majorBidi" w:hAnsiTheme="majorBidi" w:cstheme="majorBidi"/>
          <w:color w:val="252525"/>
        </w:rPr>
        <w:t>Ragab</w:t>
      </w:r>
      <w:r w:rsidR="002022F9">
        <w:rPr>
          <w:rFonts w:asciiTheme="majorBidi" w:hAnsiTheme="majorBidi" w:cstheme="majorBidi"/>
          <w:color w:val="252525"/>
        </w:rPr>
        <w:t xml:space="preserve"> </w:t>
      </w:r>
      <w:r w:rsidRPr="003B49C3">
        <w:rPr>
          <w:rFonts w:asciiTheme="majorBidi" w:hAnsiTheme="majorBidi" w:cstheme="majorBidi"/>
          <w:color w:val="252525"/>
        </w:rPr>
        <w:t>(2025):</w:t>
      </w:r>
      <w:r w:rsidR="002022F9">
        <w:rPr>
          <w:rFonts w:asciiTheme="majorBidi" w:hAnsiTheme="majorBidi" w:cstheme="majorBidi"/>
          <w:color w:val="252525"/>
        </w:rPr>
        <w:t xml:space="preserve"> </w:t>
      </w:r>
      <w:r w:rsidRPr="003B49C3">
        <w:rPr>
          <w:rFonts w:asciiTheme="majorBidi" w:hAnsiTheme="majorBidi" w:cstheme="majorBidi"/>
          <w:color w:val="252525"/>
        </w:rPr>
        <w:t>Identification</w:t>
      </w:r>
      <w:r w:rsidR="002022F9">
        <w:rPr>
          <w:rFonts w:asciiTheme="majorBidi" w:hAnsiTheme="majorBidi" w:cstheme="majorBidi"/>
          <w:color w:val="252525"/>
        </w:rPr>
        <w:t xml:space="preserve"> of </w:t>
      </w:r>
      <w:r w:rsidRPr="003B49C3">
        <w:rPr>
          <w:rFonts w:asciiTheme="majorBidi" w:hAnsiTheme="majorBidi" w:cstheme="majorBidi"/>
          <w:color w:val="252525"/>
        </w:rPr>
        <w:t>multidrug-</w:t>
      </w:r>
      <w:r w:rsidR="002022F9">
        <w:rPr>
          <w:rFonts w:asciiTheme="majorBidi" w:hAnsiTheme="majorBidi" w:cstheme="majorBidi"/>
          <w:color w:val="252525"/>
        </w:rPr>
        <w:t>re</w:t>
      </w:r>
      <w:bookmarkStart w:id="0" w:name="_GoBack"/>
      <w:bookmarkEnd w:id="0"/>
      <w:r w:rsidR="002022F9">
        <w:rPr>
          <w:rFonts w:asciiTheme="majorBidi" w:hAnsiTheme="majorBidi" w:cstheme="majorBidi"/>
          <w:color w:val="252525"/>
        </w:rPr>
        <w:t>resistant</w:t>
      </w:r>
      <w:r w:rsidRPr="003B49C3">
        <w:rPr>
          <w:rFonts w:asciiTheme="majorBidi" w:hAnsiTheme="majorBidi" w:cstheme="majorBidi"/>
          <w:color w:val="252525"/>
        </w:rPr>
        <w:t> </w:t>
      </w:r>
      <w:r w:rsidR="002022F9">
        <w:rPr>
          <w:rFonts w:asciiTheme="majorBidi" w:hAnsiTheme="majorBidi" w:cstheme="majorBidi"/>
          <w:color w:val="252525"/>
        </w:rPr>
        <w:t xml:space="preserve"> </w:t>
      </w:r>
      <w:r w:rsidRPr="003B49C3">
        <w:rPr>
          <w:rFonts w:asciiTheme="majorBidi" w:hAnsiTheme="majorBidi" w:cstheme="majorBidi"/>
          <w:color w:val="252525"/>
        </w:rPr>
        <w:t>Enterobacteriaceae harboring blaNDM-1gene isolated from surgical site infection at Benha University Hospital</w:t>
      </w:r>
      <w:r>
        <w:rPr>
          <w:rFonts w:asciiTheme="majorBidi" w:hAnsiTheme="majorBidi" w:cstheme="majorBidi"/>
          <w:color w:val="252525"/>
        </w:rPr>
        <w:t xml:space="preserve">, </w:t>
      </w:r>
      <w:r w:rsidRPr="003B49C3">
        <w:rPr>
          <w:rFonts w:asciiTheme="majorBidi" w:hAnsiTheme="majorBidi" w:cstheme="majorBidi"/>
          <w:color w:val="252525"/>
        </w:rPr>
        <w:t>Microbes and Infectious Diseases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6"/>
      </w:tblGrid>
      <w:tr w:rsidR="009E6934" w:rsidRPr="007C2307" w:rsidTr="0088791C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C2307" w:rsidRPr="007C2307" w:rsidRDefault="009E6934" w:rsidP="002022F9">
            <w:pPr>
              <w:numPr>
                <w:ilvl w:val="0"/>
                <w:numId w:val="7"/>
              </w:numPr>
              <w:shd w:val="clear" w:color="auto" w:fill="FFFFFF"/>
              <w:kinsoku w:val="0"/>
              <w:overflowPunct w:val="0"/>
              <w:spacing w:beforeAutospacing="1" w:after="0" w:afterAutospacing="1" w:line="360" w:lineRule="auto"/>
              <w:ind w:left="360" w:right="26"/>
              <w:jc w:val="both"/>
              <w:rPr>
                <w:rFonts w:asciiTheme="majorBidi" w:hAnsiTheme="majorBidi" w:cstheme="majorBidi"/>
                <w:color w:val="252525"/>
              </w:rPr>
            </w:pPr>
            <w:r w:rsidRPr="007C2307">
              <w:rPr>
                <w:rFonts w:asciiTheme="majorBidi" w:hAnsiTheme="majorBidi" w:cstheme="majorBidi"/>
                <w:color w:val="252525"/>
              </w:rPr>
              <w:t xml:space="preserve">Amira E. Ramadan; Miran K. Mohamed; Marwa S. El-sayed; Nora M. Nassar; Rasha A. Elsayed (2025): </w:t>
            </w:r>
            <w:hyperlink r:id="rId32" w:history="1">
              <w:r w:rsidRPr="007C2307">
                <w:rPr>
                  <w:rFonts w:asciiTheme="majorBidi" w:hAnsiTheme="majorBidi" w:cstheme="majorBidi"/>
                  <w:color w:val="252525"/>
                </w:rPr>
                <w:t>Precision diagnosis: Onychomycosis detection with multiplex real-time PCR versus conventional methods</w:t>
              </w:r>
            </w:hyperlink>
            <w:r w:rsidRPr="007C2307">
              <w:rPr>
                <w:rFonts w:asciiTheme="majorBidi" w:hAnsiTheme="majorBidi" w:cstheme="majorBidi"/>
                <w:color w:val="252525"/>
              </w:rPr>
              <w:t xml:space="preserve"> ; Microbes and Infectious Diseases</w:t>
            </w:r>
            <w:r w:rsidR="007C2307">
              <w:rPr>
                <w:rFonts w:asciiTheme="majorBidi" w:hAnsiTheme="majorBidi" w:cstheme="majorBidi"/>
                <w:color w:val="252525"/>
              </w:rPr>
              <w:t>.</w:t>
            </w:r>
          </w:p>
          <w:p w:rsidR="007C2307" w:rsidRPr="007C2307" w:rsidRDefault="007C2307" w:rsidP="002022F9">
            <w:pPr>
              <w:numPr>
                <w:ilvl w:val="0"/>
                <w:numId w:val="7"/>
              </w:numPr>
              <w:shd w:val="clear" w:color="auto" w:fill="FFFFFF"/>
              <w:kinsoku w:val="0"/>
              <w:overflowPunct w:val="0"/>
              <w:spacing w:beforeAutospacing="1" w:after="0" w:afterAutospacing="1" w:line="360" w:lineRule="auto"/>
              <w:ind w:left="360" w:right="26"/>
              <w:jc w:val="both"/>
              <w:rPr>
                <w:rFonts w:asciiTheme="majorBidi" w:hAnsiTheme="majorBidi" w:cstheme="majorBidi"/>
                <w:color w:val="252525"/>
                <w:rtl/>
              </w:rPr>
            </w:pPr>
            <w:hyperlink r:id="rId33" w:history="1">
              <w:r w:rsidRPr="007C2307">
                <w:rPr>
                  <w:rFonts w:asciiTheme="majorBidi" w:hAnsiTheme="majorBidi" w:cstheme="majorBidi"/>
                  <w:color w:val="252525"/>
                </w:rPr>
                <w:t>Rasha A. ElSayed</w:t>
              </w:r>
            </w:hyperlink>
            <w:r w:rsidRPr="007C2307">
              <w:rPr>
                <w:rFonts w:asciiTheme="majorBidi" w:hAnsiTheme="majorBidi" w:cstheme="majorBidi"/>
                <w:color w:val="252525"/>
              </w:rPr>
              <w:t xml:space="preserve"> ,</w:t>
            </w:r>
            <w:hyperlink r:id="rId34" w:history="1">
              <w:r w:rsidRPr="007C2307">
                <w:rPr>
                  <w:rFonts w:asciiTheme="majorBidi" w:hAnsiTheme="majorBidi" w:cstheme="majorBidi"/>
                  <w:color w:val="252525"/>
                </w:rPr>
                <w:t>Ahmed S. Osman</w:t>
              </w:r>
            </w:hyperlink>
            <w:r w:rsidRPr="007C2307">
              <w:rPr>
                <w:rFonts w:asciiTheme="majorBidi" w:hAnsiTheme="majorBidi" w:cstheme="majorBidi"/>
                <w:color w:val="252525"/>
              </w:rPr>
              <w:t> </w:t>
            </w:r>
            <w:r w:rsidRPr="007C2307">
              <w:rPr>
                <w:rFonts w:asciiTheme="majorBidi" w:hAnsiTheme="majorBidi" w:cstheme="majorBidi"/>
                <w:color w:val="252525"/>
              </w:rPr>
              <w:t xml:space="preserve">, </w:t>
            </w:r>
            <w:hyperlink r:id="rId35" w:history="1">
              <w:r w:rsidRPr="007C2307">
                <w:rPr>
                  <w:rFonts w:asciiTheme="majorBidi" w:hAnsiTheme="majorBidi" w:cstheme="majorBidi"/>
                  <w:color w:val="252525"/>
                </w:rPr>
                <w:t>Aghadear A.H. Mohammed</w:t>
              </w:r>
            </w:hyperlink>
            <w:r w:rsidRPr="007C2307">
              <w:rPr>
                <w:rFonts w:asciiTheme="majorBidi" w:hAnsiTheme="majorBidi" w:cstheme="majorBidi"/>
                <w:color w:val="252525"/>
              </w:rPr>
              <w:t>  </w:t>
            </w:r>
            <w:r w:rsidRPr="007C2307">
              <w:rPr>
                <w:rFonts w:asciiTheme="majorBidi" w:hAnsiTheme="majorBidi" w:cstheme="majorBidi"/>
                <w:color w:val="252525"/>
              </w:rPr>
              <w:t xml:space="preserve">, </w:t>
            </w:r>
            <w:hyperlink r:id="rId36" w:history="1">
              <w:r w:rsidRPr="007C2307">
                <w:rPr>
                  <w:rFonts w:asciiTheme="majorBidi" w:hAnsiTheme="majorBidi" w:cstheme="majorBidi"/>
                  <w:color w:val="252525"/>
                </w:rPr>
                <w:t>Nashwa A. Mohammad</w:t>
              </w:r>
            </w:hyperlink>
            <w:r w:rsidRPr="007C2307">
              <w:rPr>
                <w:rFonts w:asciiTheme="majorBidi" w:hAnsiTheme="majorBidi" w:cstheme="majorBidi"/>
                <w:color w:val="252525"/>
              </w:rPr>
              <w:t xml:space="preserve">, </w:t>
            </w:r>
            <w:hyperlink r:id="rId37" w:history="1">
              <w:r w:rsidRPr="007C2307">
                <w:rPr>
                  <w:rFonts w:asciiTheme="majorBidi" w:hAnsiTheme="majorBidi" w:cstheme="majorBidi"/>
                  <w:color w:val="252525"/>
                </w:rPr>
                <w:t>Amira E. Ramadan</w:t>
              </w:r>
            </w:hyperlink>
            <w:r w:rsidRPr="007C2307">
              <w:rPr>
                <w:rFonts w:asciiTheme="majorBidi" w:hAnsiTheme="majorBidi" w:cstheme="majorBidi"/>
                <w:color w:val="252525"/>
              </w:rPr>
              <w:t xml:space="preserve"> (2025): Soluble Programmed Cell Death Protein-1(sPD-1) as an Early Diagnostic and Prognostic Marker for Sepsis Following Respiratory Tract Infections</w:t>
            </w:r>
            <w:r>
              <w:rPr>
                <w:rFonts w:asciiTheme="majorBidi" w:hAnsiTheme="majorBidi" w:cstheme="majorBidi"/>
                <w:color w:val="252525"/>
              </w:rPr>
              <w:t>, EJM.</w:t>
            </w:r>
          </w:p>
          <w:p w:rsidR="007C2307" w:rsidRPr="003B49C3" w:rsidRDefault="007C2307" w:rsidP="002022F9">
            <w:pPr>
              <w:shd w:val="clear" w:color="auto" w:fill="FFFFFF"/>
              <w:kinsoku w:val="0"/>
              <w:overflowPunct w:val="0"/>
              <w:spacing w:beforeAutospacing="1" w:after="0" w:afterAutospacing="1" w:line="360" w:lineRule="auto"/>
              <w:ind w:left="360" w:right="26" w:hanging="360"/>
              <w:jc w:val="both"/>
              <w:rPr>
                <w:rFonts w:asciiTheme="majorBidi" w:hAnsiTheme="majorBidi" w:cstheme="majorBidi"/>
                <w:color w:val="252525"/>
              </w:rPr>
            </w:pPr>
          </w:p>
        </w:tc>
      </w:tr>
    </w:tbl>
    <w:p w:rsidR="00534375" w:rsidRPr="007C2307" w:rsidRDefault="00534375" w:rsidP="007C2307">
      <w:pPr>
        <w:shd w:val="clear" w:color="auto" w:fill="FFFFFF"/>
        <w:kinsoku w:val="0"/>
        <w:overflowPunct w:val="0"/>
        <w:spacing w:beforeAutospacing="1" w:after="0" w:afterAutospacing="1" w:line="360" w:lineRule="auto"/>
        <w:ind w:left="360" w:right="26" w:hanging="360"/>
        <w:jc w:val="both"/>
        <w:rPr>
          <w:rFonts w:asciiTheme="majorBidi" w:hAnsiTheme="majorBidi" w:cstheme="majorBidi"/>
          <w:color w:val="252525"/>
        </w:rPr>
      </w:pPr>
    </w:p>
    <w:sectPr w:rsidR="00534375" w:rsidRPr="007C2307" w:rsidSect="008704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D0143"/>
    <w:multiLevelType w:val="hybridMultilevel"/>
    <w:tmpl w:val="C972CC16"/>
    <w:lvl w:ilvl="0" w:tplc="04385AF8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80" w:hanging="360"/>
      </w:pPr>
    </w:lvl>
    <w:lvl w:ilvl="2" w:tplc="0809001B" w:tentative="1">
      <w:start w:val="1"/>
      <w:numFmt w:val="lowerRoman"/>
      <w:lvlText w:val="%3."/>
      <w:lvlJc w:val="right"/>
      <w:pPr>
        <w:ind w:left="3400" w:hanging="180"/>
      </w:pPr>
    </w:lvl>
    <w:lvl w:ilvl="3" w:tplc="0809000F" w:tentative="1">
      <w:start w:val="1"/>
      <w:numFmt w:val="decimal"/>
      <w:lvlText w:val="%4."/>
      <w:lvlJc w:val="left"/>
      <w:pPr>
        <w:ind w:left="4120" w:hanging="360"/>
      </w:pPr>
    </w:lvl>
    <w:lvl w:ilvl="4" w:tplc="08090019" w:tentative="1">
      <w:start w:val="1"/>
      <w:numFmt w:val="lowerLetter"/>
      <w:lvlText w:val="%5."/>
      <w:lvlJc w:val="left"/>
      <w:pPr>
        <w:ind w:left="4840" w:hanging="360"/>
      </w:pPr>
    </w:lvl>
    <w:lvl w:ilvl="5" w:tplc="0809001B" w:tentative="1">
      <w:start w:val="1"/>
      <w:numFmt w:val="lowerRoman"/>
      <w:lvlText w:val="%6."/>
      <w:lvlJc w:val="right"/>
      <w:pPr>
        <w:ind w:left="5560" w:hanging="180"/>
      </w:pPr>
    </w:lvl>
    <w:lvl w:ilvl="6" w:tplc="0809000F" w:tentative="1">
      <w:start w:val="1"/>
      <w:numFmt w:val="decimal"/>
      <w:lvlText w:val="%7."/>
      <w:lvlJc w:val="left"/>
      <w:pPr>
        <w:ind w:left="6280" w:hanging="360"/>
      </w:pPr>
    </w:lvl>
    <w:lvl w:ilvl="7" w:tplc="08090019" w:tentative="1">
      <w:start w:val="1"/>
      <w:numFmt w:val="lowerLetter"/>
      <w:lvlText w:val="%8."/>
      <w:lvlJc w:val="left"/>
      <w:pPr>
        <w:ind w:left="7000" w:hanging="360"/>
      </w:pPr>
    </w:lvl>
    <w:lvl w:ilvl="8" w:tplc="080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1" w15:restartNumberingAfterBreak="0">
    <w:nsid w:val="61486096"/>
    <w:multiLevelType w:val="hybridMultilevel"/>
    <w:tmpl w:val="39C480E6"/>
    <w:lvl w:ilvl="0" w:tplc="9712F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DF70B3"/>
    <w:multiLevelType w:val="hybridMultilevel"/>
    <w:tmpl w:val="B1B05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75580DC8"/>
    <w:multiLevelType w:val="multilevel"/>
    <w:tmpl w:val="A23A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80"/>
    <w:rsid w:val="000237A0"/>
    <w:rsid w:val="000948A2"/>
    <w:rsid w:val="002022F9"/>
    <w:rsid w:val="002946C1"/>
    <w:rsid w:val="004F6E35"/>
    <w:rsid w:val="00534375"/>
    <w:rsid w:val="00686A7F"/>
    <w:rsid w:val="00715703"/>
    <w:rsid w:val="007C2307"/>
    <w:rsid w:val="007F0233"/>
    <w:rsid w:val="008704B9"/>
    <w:rsid w:val="008D77B9"/>
    <w:rsid w:val="009E6934"/>
    <w:rsid w:val="00E25B80"/>
    <w:rsid w:val="00E52D56"/>
    <w:rsid w:val="00E8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C68E30"/>
  <w15:docId w15:val="{25B6D0A7-4BB3-4729-8DFA-343409BA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6C1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rsid w:val="004F6E35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sz w:val="51"/>
      <w:szCs w:val="5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  <w:style w:type="paragraph" w:styleId="BodyText">
    <w:name w:val="Body Text"/>
    <w:basedOn w:val="Normal"/>
    <w:link w:val="BodyTextChar"/>
    <w:uiPriority w:val="1"/>
    <w:qFormat/>
    <w:rsid w:val="004F6E35"/>
    <w:pPr>
      <w:widowControl w:val="0"/>
      <w:autoSpaceDE w:val="0"/>
      <w:autoSpaceDN w:val="0"/>
      <w:adjustRightInd w:val="0"/>
      <w:spacing w:after="0" w:line="240" w:lineRule="auto"/>
      <w:ind w:left="160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4F6E35"/>
    <w:rPr>
      <w:rFonts w:ascii="Times New Roman" w:eastAsiaTheme="minorEastAsia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1"/>
    <w:rsid w:val="004F6E35"/>
    <w:rPr>
      <w:rFonts w:ascii="Times New Roman" w:eastAsiaTheme="minorEastAsia" w:hAnsi="Times New Roman" w:cs="Times New Roman"/>
      <w:sz w:val="51"/>
      <w:szCs w:val="51"/>
    </w:rPr>
  </w:style>
  <w:style w:type="character" w:customStyle="1" w:styleId="Heading1Char">
    <w:name w:val="Heading 1 Char"/>
    <w:basedOn w:val="DefaultParagraphFont"/>
    <w:link w:val="Heading1"/>
    <w:uiPriority w:val="9"/>
    <w:rsid w:val="007C2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rticletitle">
    <w:name w:val="article_title"/>
    <w:basedOn w:val="DefaultParagraphFont"/>
    <w:rsid w:val="007C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searchgate.net/scientific-contributions/2132667370-Somaya-M-Desouky?_sg%5B0%5D=aAJ2QV8ZUwn1sNBgCCLQRrdhm0v3g-dozVFjdrzMyvjAmL3-HIHwLZczrVKbJArXVxyxzxg.hcxb22m0zmuLjFeJS-BcLQIQdoAaA3M5xY85i6TaSRaEV2-GyMCfgqpT_vfzRDUwOyDMwIvd52cSJw9dhEwlFw&amp;_sg%5B1%5D=rw6073WuoV6LQd3bmbN_JNvT05iuw3eQobRP1QgL3oYNReBYDczioN9-z2hrF-ElOWbpsjY.8gmAZNsr6e-6z_83P3P-xqYnOx1lE0_N8eK7Q55XOk2Z5xUddDRyVt0eIrUOYuYVlBjCp2UeFWCwu2VErjBvUg" TargetMode="External"/><Relationship Id="rId18" Type="http://schemas.openxmlformats.org/officeDocument/2006/relationships/hyperlink" Target="https://bmfj.journals.ekb.eg/?_action=article&amp;au=612748&amp;_au=rasha+A+omar" TargetMode="External"/><Relationship Id="rId26" Type="http://schemas.openxmlformats.org/officeDocument/2006/relationships/hyperlink" Target="javascript:;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bmfj.journals.ekb.eg/?_action=article&amp;au=612755&amp;_au=amira+essam+ramadan" TargetMode="External"/><Relationship Id="rId34" Type="http://schemas.openxmlformats.org/officeDocument/2006/relationships/hyperlink" Target="https://ejmm.journals.ekb.eg/?_action=article&amp;au=1044018&amp;_au=Ahmed+S.+Osman" TargetMode="External"/><Relationship Id="rId7" Type="http://schemas.openxmlformats.org/officeDocument/2006/relationships/hyperlink" Target="https://openwho.org/courses/SARI-facilities/resume" TargetMode="External"/><Relationship Id="rId12" Type="http://schemas.openxmlformats.org/officeDocument/2006/relationships/hyperlink" Target="https://www.researchgate.net/scientific-contributions/2132665598-Ahmed-S-Osman?_sg%5B0%5D=aAJ2QV8ZUwn1sNBgCCLQRrdhm0v3g-dozVFjdrzMyvjAmL3-HIHwLZczrVKbJArXVxyxzxg.hcxb22m0zmuLjFeJS-BcLQIQdoAaA3M5xY85i6TaSRaEV2-GyMCfgqpT_vfzRDUwOyDMwIvd52cSJw9dhEwlFw&amp;_sg%5B1%5D=rw6073WuoV6LQd3bmbN_JNvT05iuw3eQobRP1QgL3oYNReBYDczioN9-z2hrF-ElOWbpsjY.8gmAZNsr6e-6z_83P3P-xqYnOx1lE0_N8eK7Q55XOk2Z5xUddDRyVt0eIrUOYuYVlBjCp2UeFWCwu2VErjBvUg" TargetMode="External"/><Relationship Id="rId17" Type="http://schemas.openxmlformats.org/officeDocument/2006/relationships/hyperlink" Target="https://bmfj.journals.ekb.eg/?_action=article&amp;au=620184&amp;_au=ayman+mohamed+elbadawy" TargetMode="External"/><Relationship Id="rId25" Type="http://schemas.openxmlformats.org/officeDocument/2006/relationships/hyperlink" Target="https://bmfj.journals.ekb.eg/issue_38599_41306_.html" TargetMode="External"/><Relationship Id="rId33" Type="http://schemas.openxmlformats.org/officeDocument/2006/relationships/hyperlink" Target="https://ejmm.journals.ekb.eg/?_action=article&amp;au=1037707&amp;_au=Rasha+A.+ElSayed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mfj.journals.ekb.eg/?_action=article&amp;au=612751&amp;_au=ghada+helmy+omar" TargetMode="External"/><Relationship Id="rId20" Type="http://schemas.openxmlformats.org/officeDocument/2006/relationships/hyperlink" Target="https://bmfj.journals.ekb.eg/?_action=article&amp;au=612754&amp;_au=rabab+ELSAYED+omar" TargetMode="External"/><Relationship Id="rId29" Type="http://schemas.openxmlformats.org/officeDocument/2006/relationships/hyperlink" Target="javascript: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penwho.org/courses/COVID-19-occupational-health-and-safety/resume" TargetMode="External"/><Relationship Id="rId11" Type="http://schemas.openxmlformats.org/officeDocument/2006/relationships/hyperlink" Target="https://openwho.org/courses/IPC-EC-EN/resume" TargetMode="External"/><Relationship Id="rId24" Type="http://schemas.openxmlformats.org/officeDocument/2006/relationships/hyperlink" Target="https://bmfj.journals.ekb.eg/?_action=article&amp;au=612746&amp;_au=ahmed+ezzat+mansour" TargetMode="External"/><Relationship Id="rId32" Type="http://schemas.openxmlformats.org/officeDocument/2006/relationships/hyperlink" Target="https://journals.ekb.eg/article_419733.html" TargetMode="External"/><Relationship Id="rId37" Type="http://schemas.openxmlformats.org/officeDocument/2006/relationships/hyperlink" Target="https://ejmm.journals.ekb.eg/?_action=article&amp;au=908814&amp;_au=Amira+E.+Ramadan" TargetMode="External"/><Relationship Id="rId5" Type="http://schemas.openxmlformats.org/officeDocument/2006/relationships/hyperlink" Target="https://openwho.org/courses/covid-19-vaccination-healthworkers-en/resume" TargetMode="External"/><Relationship Id="rId15" Type="http://schemas.openxmlformats.org/officeDocument/2006/relationships/hyperlink" Target="https://bmfj.journals.ekb.eg/?_action=article&amp;au=612728&amp;_au=asmaa+A+elkholy" TargetMode="External"/><Relationship Id="rId23" Type="http://schemas.openxmlformats.org/officeDocument/2006/relationships/hyperlink" Target="https://bmfj.journals.ekb.eg/?_action=article&amp;au=109362&amp;_au=seham+gouda+ameen" TargetMode="External"/><Relationship Id="rId28" Type="http://schemas.openxmlformats.org/officeDocument/2006/relationships/hyperlink" Target="javascript:;" TargetMode="External"/><Relationship Id="rId36" Type="http://schemas.openxmlformats.org/officeDocument/2006/relationships/hyperlink" Target="https://ejmm.journals.ekb.eg/?_action=article&amp;au=1037714&amp;_au=Nashwa+A.+Mohammad" TargetMode="External"/><Relationship Id="rId10" Type="http://schemas.openxmlformats.org/officeDocument/2006/relationships/hyperlink" Target="https://openwho.org/courses/IPC-WM-EN/resume" TargetMode="External"/><Relationship Id="rId19" Type="http://schemas.openxmlformats.org/officeDocument/2006/relationships/hyperlink" Target="https://bmfj.journals.ekb.eg/?_action=article&amp;au=262081&amp;_au=amira+A+mohamady" TargetMode="External"/><Relationship Id="rId31" Type="http://schemas.openxmlformats.org/officeDocument/2006/relationships/hyperlink" Target="https://www.nature.com/sr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who.org/courses/IPC-IS-EN/resume" TargetMode="External"/><Relationship Id="rId14" Type="http://schemas.openxmlformats.org/officeDocument/2006/relationships/hyperlink" Target="https://www.researchgate.net/scientific-contributions/2132675118-Mohammed-D-Abdel-Fattah?_sg%5B0%5D=aAJ2QV8ZUwn1sNBgCCLQRrdhm0v3g-dozVFjdrzMyvjAmL3-HIHwLZczrVKbJArXVxyxzxg.hcxb22m0zmuLjFeJS-BcLQIQdoAaA3M5xY85i6TaSRaEV2-GyMCfgqpT_vfzRDUwOyDMwIvd52cSJw9dhEwlFw&amp;_sg%5B1%5D=rw6073WuoV6LQd3bmbN_JNvT05iuw3eQobRP1QgL3oYNReBYDczioN9-z2hrF-ElOWbpsjY.8gmAZNsr6e-6z_83P3P-xqYnOx1lE0_N8eK7Q55XOk2Z5xUddDRyVt0eIrUOYuYVlBjCp2UeFWCwu2VErjBvUg" TargetMode="External"/><Relationship Id="rId22" Type="http://schemas.openxmlformats.org/officeDocument/2006/relationships/hyperlink" Target="https://bmfj.journals.ekb.eg/?_action=article&amp;au=404436&amp;_au=Eman+Mohammed+Araby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https://ejmm.journals.ekb.eg/?_action=article&amp;au=1037666&amp;_au=Aghadear+A.H.+Mohammed" TargetMode="External"/><Relationship Id="rId8" Type="http://schemas.openxmlformats.org/officeDocument/2006/relationships/hyperlink" Target="https://openwho.org/courses/IPC-DECON-EN/resum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alqsa</dc:creator>
  <cp:keywords/>
  <dc:description/>
  <cp:lastModifiedBy>amera.ramadan@fmed.bu.edu.eg</cp:lastModifiedBy>
  <cp:revision>9</cp:revision>
  <dcterms:created xsi:type="dcterms:W3CDTF">2017-10-29T22:35:00Z</dcterms:created>
  <dcterms:modified xsi:type="dcterms:W3CDTF">2025-08-11T11:00:00Z</dcterms:modified>
</cp:coreProperties>
</file>